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6D42F" w14:textId="77777777" w:rsidR="00D5714C" w:rsidRPr="007E0A3F" w:rsidRDefault="00D5714C" w:rsidP="004C05C8">
      <w:pPr>
        <w:spacing w:after="0" w:line="240" w:lineRule="auto"/>
        <w:rPr>
          <w:rFonts w:ascii="Palatino Linotype" w:hAnsi="Palatino Linotype" w:cstheme="minorHAnsi"/>
          <w:b/>
          <w:sz w:val="28"/>
          <w:szCs w:val="28"/>
        </w:rPr>
      </w:pPr>
      <w:bookmarkStart w:id="0" w:name="_GoBack"/>
      <w:bookmarkEnd w:id="0"/>
    </w:p>
    <w:p w14:paraId="5F42A8C5" w14:textId="1EFCACF8" w:rsidR="00002591" w:rsidRDefault="00B74462" w:rsidP="004C05C8">
      <w:pPr>
        <w:spacing w:after="0" w:line="240" w:lineRule="auto"/>
        <w:jc w:val="center"/>
        <w:rPr>
          <w:rFonts w:ascii="Palatino Linotype" w:hAnsi="Palatino Linotype" w:cstheme="minorHAnsi"/>
          <w:b/>
          <w:sz w:val="36"/>
          <w:szCs w:val="36"/>
        </w:rPr>
      </w:pPr>
      <w:r w:rsidRPr="007E0A3F">
        <w:rPr>
          <w:rFonts w:ascii="Palatino Linotype" w:hAnsi="Palatino Linotype" w:cstheme="minorHAnsi"/>
          <w:b/>
          <w:sz w:val="36"/>
          <w:szCs w:val="36"/>
        </w:rPr>
        <w:t xml:space="preserve">The </w:t>
      </w:r>
      <w:r w:rsidR="00C04119">
        <w:rPr>
          <w:rFonts w:ascii="Palatino Linotype" w:hAnsi="Palatino Linotype" w:cstheme="minorHAnsi"/>
          <w:b/>
          <w:sz w:val="36"/>
          <w:szCs w:val="36"/>
        </w:rPr>
        <w:t>Housing Credit</w:t>
      </w:r>
    </w:p>
    <w:p w14:paraId="2D58A29D" w14:textId="10FCCB39" w:rsidR="00B74462" w:rsidRPr="00002591" w:rsidRDefault="00002591" w:rsidP="004C05C8">
      <w:pPr>
        <w:spacing w:after="0" w:line="240" w:lineRule="auto"/>
        <w:jc w:val="center"/>
        <w:rPr>
          <w:rFonts w:ascii="Palatino Linotype" w:hAnsi="Palatino Linotype" w:cstheme="minorHAnsi"/>
          <w:b/>
          <w:i/>
          <w:sz w:val="28"/>
          <w:szCs w:val="28"/>
        </w:rPr>
      </w:pPr>
      <w:r w:rsidRPr="00002591">
        <w:rPr>
          <w:rFonts w:ascii="Palatino Linotype" w:hAnsi="Palatino Linotype" w:cstheme="minorHAnsi"/>
          <w:b/>
          <w:i/>
          <w:sz w:val="28"/>
          <w:szCs w:val="28"/>
        </w:rPr>
        <w:t>A</w:t>
      </w:r>
      <w:r w:rsidR="00B74462" w:rsidRPr="00002591">
        <w:rPr>
          <w:rFonts w:ascii="Palatino Linotype" w:hAnsi="Palatino Linotype" w:cstheme="minorHAnsi"/>
          <w:b/>
          <w:i/>
          <w:sz w:val="28"/>
          <w:szCs w:val="28"/>
        </w:rPr>
        <w:t xml:space="preserve"> </w:t>
      </w:r>
      <w:r w:rsidRPr="00002591">
        <w:rPr>
          <w:rFonts w:ascii="Palatino Linotype" w:hAnsi="Palatino Linotype" w:cstheme="minorHAnsi"/>
          <w:b/>
          <w:i/>
          <w:sz w:val="28"/>
          <w:szCs w:val="28"/>
        </w:rPr>
        <w:t>M</w:t>
      </w:r>
      <w:r w:rsidR="00B74462" w:rsidRPr="00002591">
        <w:rPr>
          <w:rFonts w:ascii="Palatino Linotype" w:hAnsi="Palatino Linotype" w:cstheme="minorHAnsi"/>
          <w:b/>
          <w:i/>
          <w:sz w:val="28"/>
          <w:szCs w:val="28"/>
        </w:rPr>
        <w:t xml:space="preserve">odel </w:t>
      </w:r>
      <w:r w:rsidR="009B6246" w:rsidRPr="00002591">
        <w:rPr>
          <w:rFonts w:ascii="Palatino Linotype" w:hAnsi="Palatino Linotype" w:cstheme="minorHAnsi"/>
          <w:b/>
          <w:i/>
          <w:sz w:val="28"/>
          <w:szCs w:val="28"/>
        </w:rPr>
        <w:t>of</w:t>
      </w:r>
      <w:r w:rsidR="00B74462" w:rsidRPr="00002591">
        <w:rPr>
          <w:rFonts w:ascii="Palatino Linotype" w:hAnsi="Palatino Linotype" w:cstheme="minorHAnsi"/>
          <w:b/>
          <w:i/>
          <w:sz w:val="28"/>
          <w:szCs w:val="28"/>
        </w:rPr>
        <w:t xml:space="preserve"> </w:t>
      </w:r>
      <w:r w:rsidRPr="00002591">
        <w:rPr>
          <w:rFonts w:ascii="Palatino Linotype" w:hAnsi="Palatino Linotype" w:cstheme="minorHAnsi"/>
          <w:b/>
          <w:i/>
          <w:sz w:val="28"/>
          <w:szCs w:val="28"/>
        </w:rPr>
        <w:t>H</w:t>
      </w:r>
      <w:r w:rsidR="00B74462" w:rsidRPr="00002591">
        <w:rPr>
          <w:rFonts w:ascii="Palatino Linotype" w:hAnsi="Palatino Linotype" w:cstheme="minorHAnsi"/>
          <w:b/>
          <w:i/>
          <w:sz w:val="28"/>
          <w:szCs w:val="28"/>
        </w:rPr>
        <w:t xml:space="preserve">ow a </w:t>
      </w:r>
      <w:r w:rsidRPr="00002591">
        <w:rPr>
          <w:rFonts w:ascii="Palatino Linotype" w:hAnsi="Palatino Linotype" w:cstheme="minorHAnsi"/>
          <w:b/>
          <w:i/>
          <w:sz w:val="28"/>
          <w:szCs w:val="28"/>
        </w:rPr>
        <w:t>G</w:t>
      </w:r>
      <w:r w:rsidR="00B74462" w:rsidRPr="00002591">
        <w:rPr>
          <w:rFonts w:ascii="Palatino Linotype" w:hAnsi="Palatino Linotype" w:cstheme="minorHAnsi"/>
          <w:b/>
          <w:i/>
          <w:sz w:val="28"/>
          <w:szCs w:val="28"/>
        </w:rPr>
        <w:t xml:space="preserve">overnment </w:t>
      </w:r>
      <w:r w:rsidRPr="00002591">
        <w:rPr>
          <w:rFonts w:ascii="Palatino Linotype" w:hAnsi="Palatino Linotype" w:cstheme="minorHAnsi"/>
          <w:b/>
          <w:i/>
          <w:sz w:val="28"/>
          <w:szCs w:val="28"/>
        </w:rPr>
        <w:t>P</w:t>
      </w:r>
      <w:r w:rsidR="00B74462" w:rsidRPr="00002591">
        <w:rPr>
          <w:rFonts w:ascii="Palatino Linotype" w:hAnsi="Palatino Linotype" w:cstheme="minorHAnsi"/>
          <w:b/>
          <w:i/>
          <w:sz w:val="28"/>
          <w:szCs w:val="28"/>
        </w:rPr>
        <w:t xml:space="preserve">rogram </w:t>
      </w:r>
      <w:r w:rsidRPr="00002591">
        <w:rPr>
          <w:rFonts w:ascii="Palatino Linotype" w:hAnsi="Palatino Linotype" w:cstheme="minorHAnsi"/>
          <w:b/>
          <w:i/>
          <w:sz w:val="28"/>
          <w:szCs w:val="28"/>
        </w:rPr>
        <w:t>S</w:t>
      </w:r>
      <w:r w:rsidR="00B74462" w:rsidRPr="00002591">
        <w:rPr>
          <w:rFonts w:ascii="Palatino Linotype" w:hAnsi="Palatino Linotype" w:cstheme="minorHAnsi"/>
          <w:b/>
          <w:i/>
          <w:sz w:val="28"/>
          <w:szCs w:val="28"/>
        </w:rPr>
        <w:t xml:space="preserve">hould </w:t>
      </w:r>
      <w:r w:rsidRPr="00002591">
        <w:rPr>
          <w:rFonts w:ascii="Palatino Linotype" w:hAnsi="Palatino Linotype" w:cstheme="minorHAnsi"/>
          <w:b/>
          <w:i/>
          <w:sz w:val="28"/>
          <w:szCs w:val="28"/>
        </w:rPr>
        <w:t>W</w:t>
      </w:r>
      <w:r>
        <w:rPr>
          <w:rFonts w:ascii="Palatino Linotype" w:hAnsi="Palatino Linotype" w:cstheme="minorHAnsi"/>
          <w:b/>
          <w:i/>
          <w:sz w:val="28"/>
          <w:szCs w:val="28"/>
        </w:rPr>
        <w:t>ork</w:t>
      </w:r>
    </w:p>
    <w:p w14:paraId="43892F8F" w14:textId="77777777" w:rsidR="00B74462" w:rsidRPr="007E0A3F" w:rsidRDefault="00B74462" w:rsidP="00B74462">
      <w:pPr>
        <w:spacing w:after="0" w:line="240" w:lineRule="auto"/>
        <w:jc w:val="both"/>
        <w:rPr>
          <w:rFonts w:ascii="Palatino Linotype" w:hAnsi="Palatino Linotype" w:cstheme="minorHAnsi"/>
          <w:b/>
        </w:rPr>
      </w:pPr>
    </w:p>
    <w:p w14:paraId="27070CE5" w14:textId="3493CDB8" w:rsidR="00C5304C" w:rsidRDefault="004C05C8" w:rsidP="00B74462">
      <w:pPr>
        <w:spacing w:after="0" w:line="240" w:lineRule="auto"/>
        <w:jc w:val="both"/>
        <w:rPr>
          <w:rFonts w:ascii="Palatino Linotype" w:hAnsi="Palatino Linotype" w:cstheme="minorHAnsi"/>
        </w:rPr>
      </w:pPr>
      <w:r w:rsidRPr="007E0A3F">
        <w:rPr>
          <w:rFonts w:ascii="Palatino Linotype" w:hAnsi="Palatino Linotype" w:cstheme="minorHAnsi"/>
        </w:rPr>
        <w:t xml:space="preserve">Since it was signed into law by President Reagan as part of the Tax Reform Act of 1986, the Low Income Housing Tax Credit (Housing Credit) has become our nation’s most successful tool for building and preserving affordable </w:t>
      </w:r>
      <w:r w:rsidR="001050AC">
        <w:rPr>
          <w:rFonts w:ascii="Palatino Linotype" w:hAnsi="Palatino Linotype" w:cstheme="minorHAnsi"/>
        </w:rPr>
        <w:t xml:space="preserve">rental </w:t>
      </w:r>
      <w:r w:rsidRPr="007E0A3F">
        <w:rPr>
          <w:rFonts w:ascii="Palatino Linotype" w:hAnsi="Palatino Linotype" w:cstheme="minorHAnsi"/>
        </w:rPr>
        <w:t>housing.  By providing an incentive for private sector investment, the Housing Credit has financed nearly 3 million apartments for low-income families, seniors, veterans, and those with special needs</w:t>
      </w:r>
      <w:r w:rsidR="005D6960" w:rsidRPr="007E0A3F">
        <w:rPr>
          <w:rFonts w:ascii="Palatino Linotype" w:hAnsi="Palatino Linotype" w:cstheme="minorHAnsi"/>
        </w:rPr>
        <w:t xml:space="preserve">.  It </w:t>
      </w:r>
      <w:r w:rsidR="009B6246" w:rsidRPr="007E0A3F">
        <w:rPr>
          <w:rFonts w:ascii="Palatino Linotype" w:hAnsi="Palatino Linotype" w:cstheme="minorHAnsi"/>
        </w:rPr>
        <w:t>creates</w:t>
      </w:r>
      <w:r w:rsidR="001A3861" w:rsidRPr="007E0A3F">
        <w:rPr>
          <w:rFonts w:ascii="Palatino Linotype" w:hAnsi="Palatino Linotype" w:cstheme="minorHAnsi"/>
        </w:rPr>
        <w:t xml:space="preserve"> </w:t>
      </w:r>
      <w:r w:rsidR="003B0CA7" w:rsidRPr="007E0A3F">
        <w:rPr>
          <w:rFonts w:ascii="Palatino Linotype" w:hAnsi="Palatino Linotype" w:cstheme="minorHAnsi"/>
        </w:rPr>
        <w:t xml:space="preserve">opportunities for the millions of families </w:t>
      </w:r>
      <w:r w:rsidR="009E054F" w:rsidRPr="007E0A3F">
        <w:rPr>
          <w:rFonts w:ascii="Palatino Linotype" w:hAnsi="Palatino Linotype" w:cstheme="minorHAnsi"/>
        </w:rPr>
        <w:t xml:space="preserve">and individuals </w:t>
      </w:r>
      <w:r w:rsidR="003B0CA7" w:rsidRPr="007E0A3F">
        <w:rPr>
          <w:rFonts w:ascii="Palatino Linotype" w:hAnsi="Palatino Linotype" w:cstheme="minorHAnsi"/>
        </w:rPr>
        <w:t>in our country today who</w:t>
      </w:r>
      <w:r w:rsidR="00ED53F5" w:rsidRPr="007E0A3F">
        <w:rPr>
          <w:rFonts w:ascii="Palatino Linotype" w:hAnsi="Palatino Linotype" w:cstheme="minorHAnsi"/>
        </w:rPr>
        <w:t xml:space="preserve"> otherwise</w:t>
      </w:r>
      <w:r w:rsidR="003B0CA7" w:rsidRPr="007E0A3F">
        <w:rPr>
          <w:rFonts w:ascii="Palatino Linotype" w:hAnsi="Palatino Linotype" w:cstheme="minorHAnsi"/>
        </w:rPr>
        <w:t xml:space="preserve"> </w:t>
      </w:r>
      <w:r w:rsidR="00404DBC">
        <w:rPr>
          <w:rFonts w:ascii="Palatino Linotype" w:hAnsi="Palatino Linotype" w:cstheme="minorHAnsi"/>
        </w:rPr>
        <w:t xml:space="preserve">would </w:t>
      </w:r>
      <w:r w:rsidR="003B0CA7" w:rsidRPr="007E0A3F">
        <w:rPr>
          <w:rFonts w:ascii="Palatino Linotype" w:hAnsi="Palatino Linotype" w:cstheme="minorHAnsi"/>
        </w:rPr>
        <w:t xml:space="preserve">pay </w:t>
      </w:r>
      <w:r w:rsidR="00673A91" w:rsidRPr="007E0A3F">
        <w:rPr>
          <w:rFonts w:ascii="Palatino Linotype" w:hAnsi="Palatino Linotype" w:cstheme="minorHAnsi"/>
        </w:rPr>
        <w:t>an excessive portion of their</w:t>
      </w:r>
      <w:r w:rsidR="003B0CA7" w:rsidRPr="007E0A3F">
        <w:rPr>
          <w:rFonts w:ascii="Palatino Linotype" w:hAnsi="Palatino Linotype" w:cstheme="minorHAnsi"/>
        </w:rPr>
        <w:t xml:space="preserve"> income for housing, live in substandard and overcrowded conditions, or face homelessness</w:t>
      </w:r>
      <w:r w:rsidR="008401AB" w:rsidRPr="007E0A3F">
        <w:rPr>
          <w:rFonts w:ascii="Palatino Linotype" w:hAnsi="Palatino Linotype" w:cstheme="minorHAnsi"/>
        </w:rPr>
        <w:t xml:space="preserve">. </w:t>
      </w:r>
      <w:r w:rsidR="00EB641D" w:rsidRPr="007E0A3F">
        <w:rPr>
          <w:rFonts w:ascii="Palatino Linotype" w:hAnsi="Palatino Linotype" w:cstheme="minorHAnsi"/>
        </w:rPr>
        <w:t xml:space="preserve"> </w:t>
      </w:r>
    </w:p>
    <w:p w14:paraId="4408FCD8" w14:textId="77777777" w:rsidR="00C5304C" w:rsidRDefault="00C5304C" w:rsidP="00B74462">
      <w:pPr>
        <w:spacing w:after="0" w:line="240" w:lineRule="auto"/>
        <w:jc w:val="both"/>
        <w:rPr>
          <w:rFonts w:ascii="Palatino Linotype" w:hAnsi="Palatino Linotype" w:cstheme="minorHAnsi"/>
        </w:rPr>
      </w:pPr>
    </w:p>
    <w:p w14:paraId="27D8B46D" w14:textId="20DD53B5" w:rsidR="00C5304C" w:rsidRDefault="00C5304C" w:rsidP="00B74462">
      <w:pPr>
        <w:spacing w:after="0" w:line="240" w:lineRule="auto"/>
        <w:jc w:val="both"/>
        <w:rPr>
          <w:rFonts w:ascii="Palatino Linotype" w:hAnsi="Palatino Linotype" w:cstheme="minorHAnsi"/>
        </w:rPr>
      </w:pPr>
      <w:r>
        <w:rPr>
          <w:rFonts w:ascii="Palatino Linotype" w:hAnsi="Palatino Linotype" w:cstheme="minorHAnsi"/>
        </w:rPr>
        <w:t xml:space="preserve">The affordable housing provided by the Housing Credit has an immeasurable impact on the lives of those who live in it, and arguably results in </w:t>
      </w:r>
      <w:r w:rsidR="00002591">
        <w:rPr>
          <w:rFonts w:ascii="Palatino Linotype" w:hAnsi="Palatino Linotype" w:cstheme="minorHAnsi"/>
        </w:rPr>
        <w:t xml:space="preserve">numerous </w:t>
      </w:r>
      <w:r>
        <w:rPr>
          <w:rFonts w:ascii="Palatino Linotype" w:hAnsi="Palatino Linotype" w:cstheme="minorHAnsi"/>
        </w:rPr>
        <w:t xml:space="preserve">indirect cost savings for federal, state, and local governments.  That’s because housing stability </w:t>
      </w:r>
      <w:r w:rsidR="00907629">
        <w:rPr>
          <w:rFonts w:ascii="Palatino Linotype" w:hAnsi="Palatino Linotype" w:cstheme="minorHAnsi"/>
        </w:rPr>
        <w:t>leads to</w:t>
      </w:r>
      <w:r>
        <w:rPr>
          <w:rFonts w:ascii="Palatino Linotype" w:hAnsi="Palatino Linotype" w:cstheme="minorHAnsi"/>
        </w:rPr>
        <w:t xml:space="preserve"> better health outcomes, improves children’s school performance, </w:t>
      </w:r>
      <w:r w:rsidR="00907629">
        <w:rPr>
          <w:rFonts w:ascii="Palatino Linotype" w:hAnsi="Palatino Linotype" w:cstheme="minorHAnsi"/>
        </w:rPr>
        <w:t xml:space="preserve">helps people gain employment, and </w:t>
      </w:r>
      <w:r>
        <w:rPr>
          <w:rFonts w:ascii="Palatino Linotype" w:hAnsi="Palatino Linotype" w:cstheme="minorHAnsi"/>
        </w:rPr>
        <w:t xml:space="preserve">promotes economic mobility. </w:t>
      </w:r>
    </w:p>
    <w:p w14:paraId="57965114" w14:textId="77777777" w:rsidR="00C5304C" w:rsidRDefault="00C5304C" w:rsidP="00B74462">
      <w:pPr>
        <w:spacing w:after="0" w:line="240" w:lineRule="auto"/>
        <w:jc w:val="both"/>
        <w:rPr>
          <w:rFonts w:ascii="Palatino Linotype" w:hAnsi="Palatino Linotype" w:cstheme="minorHAnsi"/>
        </w:rPr>
      </w:pPr>
    </w:p>
    <w:p w14:paraId="191EB0F9" w14:textId="765804C3" w:rsidR="005D6960" w:rsidRPr="007E0A3F" w:rsidRDefault="00404DBC" w:rsidP="00B74462">
      <w:pPr>
        <w:spacing w:after="0" w:line="240" w:lineRule="auto"/>
        <w:jc w:val="both"/>
        <w:rPr>
          <w:rFonts w:ascii="Palatino Linotype" w:hAnsi="Palatino Linotype" w:cstheme="minorHAnsi"/>
        </w:rPr>
      </w:pPr>
      <w:r>
        <w:rPr>
          <w:rFonts w:ascii="Palatino Linotype" w:hAnsi="Palatino Linotype" w:cstheme="minorHAnsi"/>
        </w:rPr>
        <w:t>Key</w:t>
      </w:r>
      <w:r w:rsidR="009B6246" w:rsidRPr="007E0A3F">
        <w:rPr>
          <w:rFonts w:ascii="Palatino Linotype" w:hAnsi="Palatino Linotype" w:cstheme="minorHAnsi"/>
        </w:rPr>
        <w:t xml:space="preserve"> to t</w:t>
      </w:r>
      <w:r w:rsidR="005D6960" w:rsidRPr="007E0A3F">
        <w:rPr>
          <w:rFonts w:ascii="Palatino Linotype" w:hAnsi="Palatino Linotype" w:cstheme="minorHAnsi"/>
        </w:rPr>
        <w:t>he Housing Credit</w:t>
      </w:r>
      <w:r w:rsidR="009B6246" w:rsidRPr="007E0A3F">
        <w:rPr>
          <w:rFonts w:ascii="Palatino Linotype" w:hAnsi="Palatino Linotype" w:cstheme="minorHAnsi"/>
        </w:rPr>
        <w:t>’s success and its</w:t>
      </w:r>
      <w:r w:rsidR="005D6960" w:rsidRPr="007E0A3F">
        <w:rPr>
          <w:rFonts w:ascii="Palatino Linotype" w:hAnsi="Palatino Linotype" w:cstheme="minorHAnsi"/>
        </w:rPr>
        <w:t xml:space="preserve"> wide bipartisan support </w:t>
      </w:r>
      <w:r w:rsidR="009B6246" w:rsidRPr="007E0A3F">
        <w:rPr>
          <w:rFonts w:ascii="Palatino Linotype" w:hAnsi="Palatino Linotype" w:cstheme="minorHAnsi"/>
        </w:rPr>
        <w:t>is its unique design:</w:t>
      </w:r>
    </w:p>
    <w:p w14:paraId="4BB25BE9" w14:textId="77777777" w:rsidR="005D6960" w:rsidRPr="007E0A3F" w:rsidRDefault="005D6960" w:rsidP="00B74462">
      <w:pPr>
        <w:spacing w:after="0" w:line="240" w:lineRule="auto"/>
        <w:jc w:val="both"/>
        <w:rPr>
          <w:rFonts w:ascii="Palatino Linotype" w:hAnsi="Palatino Linotype"/>
          <w:bCs/>
        </w:rPr>
      </w:pPr>
    </w:p>
    <w:p w14:paraId="71FF4731" w14:textId="7AC66936" w:rsidR="00F369C5" w:rsidRPr="007E0A3F" w:rsidRDefault="00F369C5" w:rsidP="009B6246">
      <w:pPr>
        <w:pStyle w:val="ListParagraph"/>
        <w:numPr>
          <w:ilvl w:val="0"/>
          <w:numId w:val="5"/>
        </w:numPr>
        <w:spacing w:after="0" w:line="240" w:lineRule="auto"/>
        <w:jc w:val="both"/>
        <w:rPr>
          <w:rFonts w:ascii="Palatino Linotype" w:hAnsi="Palatino Linotype"/>
          <w:bCs/>
        </w:rPr>
      </w:pPr>
      <w:r w:rsidRPr="007E0A3F">
        <w:rPr>
          <w:rFonts w:ascii="Palatino Linotype" w:hAnsi="Palatino Linotype"/>
          <w:b/>
          <w:bCs/>
        </w:rPr>
        <w:t>A Model Public-Private Partnership with Investors Assuming the Risk.</w:t>
      </w:r>
      <w:r w:rsidRPr="007E0A3F">
        <w:rPr>
          <w:rFonts w:ascii="Palatino Linotype" w:hAnsi="Palatino Linotype"/>
          <w:bCs/>
        </w:rPr>
        <w:t xml:space="preserve"> The Housing Credit program is structured so that private sector investors provide upfront equity capital in exchange for a credit against their tax liability</w:t>
      </w:r>
      <w:r w:rsidR="007E0A3F">
        <w:rPr>
          <w:rFonts w:ascii="Palatino Linotype" w:hAnsi="Palatino Linotype"/>
          <w:bCs/>
        </w:rPr>
        <w:t xml:space="preserve">.  This unique, market-based </w:t>
      </w:r>
      <w:r w:rsidRPr="007E0A3F">
        <w:rPr>
          <w:rFonts w:ascii="Palatino Linotype" w:hAnsi="Palatino Linotype"/>
          <w:bCs/>
        </w:rPr>
        <w:t>structure transfers the real estate risk from the taxpayer to the private sector investor.  In the rare event that a property falls out of compliance anytime during the first 15 years after it is placed in service, the Internal Revenue Service is able to recapture tax credits from the investor.  Therefore, it is in the interest of the private sector investors to ensure that properties adhere to all program rules, including affordability restrictions and high qua</w:t>
      </w:r>
      <w:r w:rsidR="00463ED1" w:rsidRPr="007E0A3F">
        <w:rPr>
          <w:rFonts w:ascii="Palatino Linotype" w:hAnsi="Palatino Linotype"/>
          <w:bCs/>
        </w:rPr>
        <w:t xml:space="preserve">lity standards.  This rigorous </w:t>
      </w:r>
      <w:r w:rsidRPr="007E0A3F">
        <w:rPr>
          <w:rFonts w:ascii="Palatino Linotype" w:hAnsi="Palatino Linotype"/>
          <w:bCs/>
        </w:rPr>
        <w:t>private sector oversight is a hallmark of the progra</w:t>
      </w:r>
      <w:r w:rsidR="00404DBC">
        <w:rPr>
          <w:rFonts w:ascii="Palatino Linotype" w:hAnsi="Palatino Linotype"/>
          <w:bCs/>
        </w:rPr>
        <w:t>m</w:t>
      </w:r>
      <w:r w:rsidRPr="007E0A3F">
        <w:rPr>
          <w:rFonts w:ascii="Palatino Linotype" w:hAnsi="Palatino Linotype"/>
          <w:bCs/>
        </w:rPr>
        <w:t xml:space="preserve"> and has contributed to its unparalleled record of achievement.  </w:t>
      </w:r>
    </w:p>
    <w:p w14:paraId="6F757F62" w14:textId="77777777" w:rsidR="00F369C5" w:rsidRPr="007E0A3F" w:rsidRDefault="00F369C5" w:rsidP="00B74462">
      <w:pPr>
        <w:spacing w:after="0" w:line="240" w:lineRule="auto"/>
        <w:jc w:val="both"/>
        <w:rPr>
          <w:rFonts w:ascii="Palatino Linotype" w:hAnsi="Palatino Linotype"/>
          <w:bCs/>
        </w:rPr>
      </w:pPr>
    </w:p>
    <w:p w14:paraId="0E91F021" w14:textId="3C5FBE65" w:rsidR="00F369C5" w:rsidRPr="007E0A3F" w:rsidRDefault="00F369C5" w:rsidP="009B6246">
      <w:pPr>
        <w:pStyle w:val="ListParagraph"/>
        <w:numPr>
          <w:ilvl w:val="0"/>
          <w:numId w:val="5"/>
        </w:numPr>
        <w:spacing w:after="0" w:line="240" w:lineRule="auto"/>
        <w:jc w:val="both"/>
        <w:rPr>
          <w:rFonts w:ascii="Palatino Linotype" w:hAnsi="Palatino Linotype"/>
          <w:bCs/>
        </w:rPr>
      </w:pPr>
      <w:r w:rsidRPr="007E0A3F">
        <w:rPr>
          <w:rFonts w:ascii="Palatino Linotype" w:hAnsi="Palatino Linotype"/>
          <w:b/>
          <w:bCs/>
        </w:rPr>
        <w:t xml:space="preserve">State Administered </w:t>
      </w:r>
      <w:r w:rsidR="00404DBC">
        <w:rPr>
          <w:rFonts w:ascii="Palatino Linotype" w:hAnsi="Palatino Linotype"/>
          <w:b/>
          <w:bCs/>
        </w:rPr>
        <w:t>with</w:t>
      </w:r>
      <w:r w:rsidRPr="007E0A3F">
        <w:rPr>
          <w:rFonts w:ascii="Palatino Linotype" w:hAnsi="Palatino Linotype"/>
          <w:b/>
          <w:bCs/>
        </w:rPr>
        <w:t xml:space="preserve"> Limited Federal Bureaucracy.</w:t>
      </w:r>
      <w:r w:rsidRPr="007E0A3F">
        <w:rPr>
          <w:rFonts w:ascii="Palatino Linotype" w:hAnsi="Palatino Linotype"/>
          <w:bCs/>
        </w:rPr>
        <w:t xml:space="preserve">  Unlike the housing programs of the past, the Housing Credit requires limited federal bureaucracy because </w:t>
      </w:r>
      <w:r w:rsidR="00463ED1" w:rsidRPr="007E0A3F">
        <w:rPr>
          <w:rFonts w:ascii="Palatino Linotype" w:hAnsi="Palatino Linotype"/>
          <w:bCs/>
        </w:rPr>
        <w:t>Congress wisely and with great foresight delegated its administration</w:t>
      </w:r>
      <w:r w:rsidR="00404DBC">
        <w:rPr>
          <w:rFonts w:ascii="Palatino Linotype" w:hAnsi="Palatino Linotype"/>
          <w:bCs/>
        </w:rPr>
        <w:t xml:space="preserve"> and decision-making authority</w:t>
      </w:r>
      <w:r w:rsidR="00463ED1" w:rsidRPr="007E0A3F">
        <w:rPr>
          <w:rFonts w:ascii="Palatino Linotype" w:hAnsi="Palatino Linotype"/>
          <w:bCs/>
        </w:rPr>
        <w:t xml:space="preserve"> to state government.  </w:t>
      </w:r>
      <w:r w:rsidRPr="007E0A3F">
        <w:rPr>
          <w:rFonts w:ascii="Palatino Linotype" w:hAnsi="Palatino Linotype"/>
          <w:bCs/>
        </w:rPr>
        <w:t xml:space="preserve">State Housing Finance Agencies, which administer the Credit in nearly every state, have statewide perspective; a deep understanding of the needs of their local markets; and sophisticated finance, underwriting, and asset management capacity.  </w:t>
      </w:r>
      <w:r w:rsidR="00463ED1" w:rsidRPr="007E0A3F">
        <w:rPr>
          <w:rFonts w:ascii="Palatino Linotype" w:hAnsi="Palatino Linotype"/>
          <w:bCs/>
        </w:rPr>
        <w:t xml:space="preserve">They combine sharp business acumen with a mission-driven public purpose to harness private capital to provide affordable housing.  </w:t>
      </w:r>
    </w:p>
    <w:p w14:paraId="147CCEB1" w14:textId="77777777" w:rsidR="005D6960" w:rsidRPr="007E0A3F" w:rsidRDefault="005D6960" w:rsidP="00B74462">
      <w:pPr>
        <w:spacing w:after="0" w:line="240" w:lineRule="auto"/>
        <w:jc w:val="both"/>
        <w:rPr>
          <w:rFonts w:ascii="Palatino Linotype" w:hAnsi="Palatino Linotype"/>
          <w:bCs/>
        </w:rPr>
      </w:pPr>
    </w:p>
    <w:p w14:paraId="484EB53D" w14:textId="61C73DEE" w:rsidR="007E0A3F" w:rsidRPr="007E0A3F" w:rsidRDefault="007E0A3F" w:rsidP="007E0A3F">
      <w:pPr>
        <w:pStyle w:val="ListParagraph"/>
        <w:numPr>
          <w:ilvl w:val="0"/>
          <w:numId w:val="5"/>
        </w:numPr>
        <w:spacing w:after="0" w:line="240" w:lineRule="auto"/>
        <w:jc w:val="both"/>
        <w:rPr>
          <w:rFonts w:ascii="Palatino Linotype" w:hAnsi="Palatino Linotype"/>
          <w:bCs/>
        </w:rPr>
      </w:pPr>
      <w:r w:rsidRPr="007E0A3F">
        <w:rPr>
          <w:rFonts w:ascii="Palatino Linotype" w:hAnsi="Palatino Linotype" w:cstheme="minorHAnsi"/>
          <w:b/>
        </w:rPr>
        <w:t>An Important Contributor to Our Nation’s Economic Wellbeing.</w:t>
      </w:r>
      <w:r w:rsidRPr="007E0A3F">
        <w:rPr>
          <w:rFonts w:ascii="Palatino Linotype" w:hAnsi="Palatino Linotype" w:cstheme="minorHAnsi"/>
        </w:rPr>
        <w:t xml:space="preserve">  The Housing Credit </w:t>
      </w:r>
      <w:r w:rsidR="00FE13FA">
        <w:rPr>
          <w:rFonts w:ascii="Palatino Linotype" w:hAnsi="Palatino Linotype" w:cstheme="minorHAnsi"/>
        </w:rPr>
        <w:t xml:space="preserve">generates </w:t>
      </w:r>
      <w:r w:rsidRPr="007E0A3F">
        <w:rPr>
          <w:rFonts w:ascii="Palatino Linotype" w:hAnsi="Palatino Linotype" w:cstheme="minorHAnsi"/>
        </w:rPr>
        <w:t>approximately $3.5 billion in federal, state, and local taxes; $9.1 billion in economic income from wages and business income; and 95,700 jobs across many U.S. industries every year.  The National Association of Home Builders estimates that in its first year, a typical 100-</w:t>
      </w:r>
      <w:r w:rsidRPr="007E0A3F">
        <w:rPr>
          <w:rFonts w:ascii="Palatino Linotype" w:hAnsi="Palatino Linotype" w:cstheme="minorHAnsi"/>
        </w:rPr>
        <w:lastRenderedPageBreak/>
        <w:t>unit Housing Credit property on average provides $8.7 million in additional wages for local workers and business profits; creates $3.3 million in additional federal, state, and local tax r</w:t>
      </w:r>
      <w:r>
        <w:rPr>
          <w:rFonts w:ascii="Palatino Linotype" w:hAnsi="Palatino Linotype" w:cstheme="minorHAnsi"/>
        </w:rPr>
        <w:t xml:space="preserve">evenue; and supports 116 jobs. </w:t>
      </w:r>
    </w:p>
    <w:p w14:paraId="2711EED8" w14:textId="77777777" w:rsidR="007E0A3F" w:rsidRPr="007E0A3F" w:rsidRDefault="007E0A3F" w:rsidP="007E0A3F">
      <w:pPr>
        <w:pStyle w:val="ListParagraph"/>
        <w:spacing w:after="0" w:line="240" w:lineRule="auto"/>
        <w:jc w:val="both"/>
        <w:rPr>
          <w:rFonts w:ascii="Palatino Linotype" w:hAnsi="Palatino Linotype" w:cstheme="minorHAnsi"/>
        </w:rPr>
      </w:pPr>
    </w:p>
    <w:p w14:paraId="32CCF1FC" w14:textId="1112C5C6" w:rsidR="00404DBC" w:rsidRPr="009F0346" w:rsidRDefault="00404DBC" w:rsidP="006148C1">
      <w:pPr>
        <w:pStyle w:val="ListParagraph"/>
        <w:numPr>
          <w:ilvl w:val="0"/>
          <w:numId w:val="5"/>
        </w:numPr>
        <w:spacing w:after="0" w:line="240" w:lineRule="auto"/>
        <w:jc w:val="both"/>
        <w:rPr>
          <w:rFonts w:ascii="Palatino Linotype" w:hAnsi="Palatino Linotype" w:cstheme="minorHAnsi"/>
          <w:b/>
        </w:rPr>
      </w:pPr>
      <w:r w:rsidRPr="009F0346">
        <w:rPr>
          <w:rFonts w:ascii="Palatino Linotype" w:hAnsi="Palatino Linotype" w:cstheme="minorHAnsi"/>
          <w:b/>
        </w:rPr>
        <w:t>A Critical Part of Our Nation’s Infrastructure.</w:t>
      </w:r>
      <w:r w:rsidRPr="009F0346">
        <w:rPr>
          <w:rFonts w:ascii="Palatino Linotype" w:hAnsi="Palatino Linotype" w:cstheme="minorHAnsi"/>
        </w:rPr>
        <w:t xml:space="preserve">  </w:t>
      </w:r>
      <w:r w:rsidR="00480026" w:rsidRPr="009F0346">
        <w:rPr>
          <w:rFonts w:ascii="Palatino Linotype" w:hAnsi="Palatino Linotype" w:cstheme="minorHAnsi"/>
        </w:rPr>
        <w:t xml:space="preserve">To </w:t>
      </w:r>
      <w:r w:rsidR="00EA54FD">
        <w:rPr>
          <w:rFonts w:ascii="Palatino Linotype" w:hAnsi="Palatino Linotype" w:cstheme="minorHAnsi"/>
        </w:rPr>
        <w:t xml:space="preserve">be competitive, </w:t>
      </w:r>
      <w:r w:rsidR="00480026" w:rsidRPr="009F0346">
        <w:rPr>
          <w:rFonts w:ascii="Palatino Linotype" w:hAnsi="Palatino Linotype" w:cstheme="minorHAnsi"/>
        </w:rPr>
        <w:t xml:space="preserve">attract </w:t>
      </w:r>
      <w:r w:rsidR="00EA54FD">
        <w:rPr>
          <w:rFonts w:ascii="Palatino Linotype" w:hAnsi="Palatino Linotype" w:cstheme="minorHAnsi"/>
        </w:rPr>
        <w:t>employment,</w:t>
      </w:r>
      <w:r w:rsidR="00480026" w:rsidRPr="009F0346">
        <w:rPr>
          <w:rFonts w:ascii="Palatino Linotype" w:hAnsi="Palatino Linotype" w:cstheme="minorHAnsi"/>
        </w:rPr>
        <w:t xml:space="preserve"> and create thriving communities, cities and towns </w:t>
      </w:r>
      <w:r w:rsidR="00EA54FD">
        <w:rPr>
          <w:rFonts w:ascii="Palatino Linotype" w:hAnsi="Palatino Linotype" w:cstheme="minorHAnsi"/>
        </w:rPr>
        <w:t>must have</w:t>
      </w:r>
      <w:r w:rsidR="00480026" w:rsidRPr="009F0346">
        <w:rPr>
          <w:rFonts w:ascii="Palatino Linotype" w:hAnsi="Palatino Linotype" w:cstheme="minorHAnsi"/>
        </w:rPr>
        <w:t xml:space="preserve"> </w:t>
      </w:r>
      <w:r w:rsidR="00EA54FD">
        <w:rPr>
          <w:rFonts w:ascii="Palatino Linotype" w:hAnsi="Palatino Linotype" w:cstheme="minorHAnsi"/>
        </w:rPr>
        <w:t>well-maintained</w:t>
      </w:r>
      <w:r w:rsidR="00480026" w:rsidRPr="009F0346">
        <w:rPr>
          <w:rFonts w:ascii="Palatino Linotype" w:hAnsi="Palatino Linotype" w:cstheme="minorHAnsi"/>
        </w:rPr>
        <w:t xml:space="preserve"> infrastructure. T</w:t>
      </w:r>
      <w:r w:rsidRPr="009F0346">
        <w:rPr>
          <w:rFonts w:ascii="Palatino Linotype" w:hAnsi="Palatino Linotype" w:cstheme="minorHAnsi"/>
        </w:rPr>
        <w:t>he affordable housing produced using the Housing Credit is a</w:t>
      </w:r>
      <w:r w:rsidR="00480026" w:rsidRPr="009F0346">
        <w:rPr>
          <w:rFonts w:ascii="Palatino Linotype" w:hAnsi="Palatino Linotype" w:cstheme="minorHAnsi"/>
        </w:rPr>
        <w:t>s vital</w:t>
      </w:r>
      <w:r w:rsidRPr="009F0346">
        <w:rPr>
          <w:rFonts w:ascii="Palatino Linotype" w:hAnsi="Palatino Linotype" w:cstheme="minorHAnsi"/>
        </w:rPr>
        <w:t xml:space="preserve"> </w:t>
      </w:r>
      <w:r w:rsidR="00FE13FA">
        <w:rPr>
          <w:rFonts w:ascii="Palatino Linotype" w:hAnsi="Palatino Linotype" w:cstheme="minorHAnsi"/>
        </w:rPr>
        <w:t xml:space="preserve">a </w:t>
      </w:r>
      <w:r w:rsidR="00480026" w:rsidRPr="009F0346">
        <w:rPr>
          <w:rFonts w:ascii="Palatino Linotype" w:hAnsi="Palatino Linotype" w:cstheme="minorHAnsi"/>
        </w:rPr>
        <w:t>component</w:t>
      </w:r>
      <w:r w:rsidRPr="009F0346">
        <w:rPr>
          <w:rFonts w:ascii="Palatino Linotype" w:hAnsi="Palatino Linotype" w:cstheme="minorHAnsi"/>
        </w:rPr>
        <w:t xml:space="preserve"> of </w:t>
      </w:r>
      <w:r w:rsidR="00480026" w:rsidRPr="009F0346">
        <w:rPr>
          <w:rFonts w:ascii="Palatino Linotype" w:hAnsi="Palatino Linotype" w:cstheme="minorHAnsi"/>
        </w:rPr>
        <w:t>that</w:t>
      </w:r>
      <w:r w:rsidRPr="009F0346">
        <w:rPr>
          <w:rFonts w:ascii="Palatino Linotype" w:hAnsi="Palatino Linotype" w:cstheme="minorHAnsi"/>
        </w:rPr>
        <w:t xml:space="preserve"> infrastructure</w:t>
      </w:r>
      <w:r w:rsidR="00480026" w:rsidRPr="009F0346">
        <w:rPr>
          <w:rFonts w:ascii="Palatino Linotype" w:hAnsi="Palatino Linotype" w:cstheme="minorHAnsi"/>
        </w:rPr>
        <w:t xml:space="preserve"> as roads and bridges, water and sewer, and energy systems.  </w:t>
      </w:r>
    </w:p>
    <w:p w14:paraId="0BACF720" w14:textId="77777777" w:rsidR="009F0346" w:rsidRPr="009F0346" w:rsidRDefault="009F0346" w:rsidP="009F0346">
      <w:pPr>
        <w:spacing w:after="0" w:line="240" w:lineRule="auto"/>
        <w:jc w:val="both"/>
        <w:rPr>
          <w:rFonts w:ascii="Palatino Linotype" w:hAnsi="Palatino Linotype" w:cstheme="minorHAnsi"/>
          <w:b/>
        </w:rPr>
      </w:pPr>
    </w:p>
    <w:p w14:paraId="346965B3" w14:textId="064C28FC" w:rsidR="00463ED1" w:rsidRPr="007E0A3F" w:rsidRDefault="00463ED1" w:rsidP="009B6246">
      <w:pPr>
        <w:pStyle w:val="ListParagraph"/>
        <w:numPr>
          <w:ilvl w:val="0"/>
          <w:numId w:val="5"/>
        </w:numPr>
        <w:spacing w:after="0" w:line="240" w:lineRule="auto"/>
        <w:jc w:val="both"/>
        <w:rPr>
          <w:rFonts w:ascii="Palatino Linotype" w:hAnsi="Palatino Linotype" w:cstheme="minorHAnsi"/>
        </w:rPr>
      </w:pPr>
      <w:r w:rsidRPr="007E0A3F">
        <w:rPr>
          <w:rFonts w:ascii="Palatino Linotype" w:hAnsi="Palatino Linotype" w:cstheme="minorHAnsi"/>
          <w:b/>
        </w:rPr>
        <w:t>A Record of Exceptional Performance.</w:t>
      </w:r>
      <w:r w:rsidRPr="007E0A3F">
        <w:rPr>
          <w:rFonts w:ascii="Palatino Linotype" w:hAnsi="Palatino Linotype" w:cstheme="minorHAnsi"/>
        </w:rPr>
        <w:t xml:space="preserve">  With </w:t>
      </w:r>
      <w:r w:rsidR="009B6246" w:rsidRPr="007E0A3F">
        <w:rPr>
          <w:rFonts w:ascii="Palatino Linotype" w:hAnsi="Palatino Linotype" w:cstheme="minorHAnsi"/>
        </w:rPr>
        <w:t>strict</w:t>
      </w:r>
      <w:r w:rsidRPr="007E0A3F">
        <w:rPr>
          <w:rFonts w:ascii="Palatino Linotype" w:hAnsi="Palatino Linotype" w:cstheme="minorHAnsi"/>
        </w:rPr>
        <w:t xml:space="preserve"> state agency underwriting standards, </w:t>
      </w:r>
      <w:r w:rsidR="009B6246" w:rsidRPr="007E0A3F">
        <w:rPr>
          <w:rFonts w:ascii="Palatino Linotype" w:hAnsi="Palatino Linotype" w:cstheme="minorHAnsi"/>
        </w:rPr>
        <w:t>stringent</w:t>
      </w:r>
      <w:r w:rsidRPr="007E0A3F">
        <w:rPr>
          <w:rFonts w:ascii="Palatino Linotype" w:hAnsi="Palatino Linotype" w:cstheme="minorHAnsi"/>
        </w:rPr>
        <w:t xml:space="preserve"> compliance requirements, and due diligence from the private sector, the inventory of Housing Credit properties has an outstanding performance track record according to all commonly used real estate metrics.  Only 0.66 percent of Housing Credit developments have ever resulted in foreclosure, an unparalleled record compared to market-rate multifamily properties and all other real estate classes.  </w:t>
      </w:r>
    </w:p>
    <w:p w14:paraId="10EF9C54" w14:textId="77777777" w:rsidR="007E0A3F" w:rsidRPr="007E0A3F" w:rsidRDefault="007E0A3F" w:rsidP="007E0A3F">
      <w:pPr>
        <w:spacing w:after="0" w:line="240" w:lineRule="auto"/>
        <w:jc w:val="both"/>
        <w:rPr>
          <w:rFonts w:ascii="Palatino Linotype" w:hAnsi="Palatino Linotype"/>
          <w:bCs/>
        </w:rPr>
      </w:pPr>
    </w:p>
    <w:p w14:paraId="178CD281" w14:textId="42FF990E" w:rsidR="003B0CA7" w:rsidRDefault="007E0A3F" w:rsidP="007C2E98">
      <w:pPr>
        <w:pStyle w:val="ListParagraph"/>
        <w:numPr>
          <w:ilvl w:val="0"/>
          <w:numId w:val="1"/>
        </w:numPr>
        <w:spacing w:after="0" w:line="240" w:lineRule="auto"/>
        <w:ind w:left="630"/>
        <w:jc w:val="both"/>
        <w:rPr>
          <w:rFonts w:ascii="Palatino Linotype" w:hAnsi="Palatino Linotype" w:cstheme="minorHAnsi"/>
        </w:rPr>
      </w:pPr>
      <w:r w:rsidRPr="009F0346">
        <w:rPr>
          <w:rFonts w:ascii="Palatino Linotype" w:hAnsi="Palatino Linotype" w:cstheme="minorHAnsi"/>
          <w:b/>
        </w:rPr>
        <w:t xml:space="preserve">Meeting a Need the Private Sector Could Not Otherwise Address.  </w:t>
      </w:r>
      <w:r w:rsidR="003B0CA7" w:rsidRPr="009F0346">
        <w:rPr>
          <w:rFonts w:ascii="Palatino Linotype" w:hAnsi="Palatino Linotype" w:cstheme="minorHAnsi"/>
        </w:rPr>
        <w:t xml:space="preserve">Unlike many other tax expenditures, which subsidize activity that would occur at some level without a tax benefit, virtually no affordable rental housing development would occur without the Housing Credit.  </w:t>
      </w:r>
      <w:r w:rsidRPr="009F0346">
        <w:rPr>
          <w:rFonts w:ascii="Palatino Linotype" w:eastAsia="Times New Roman" w:hAnsi="Palatino Linotype" w:cs="Times New Roman"/>
          <w:color w:val="000000" w:themeColor="text1"/>
        </w:rPr>
        <w:t>Housing simply costs too much to build for owners to charge rents that are affordable to low-income households</w:t>
      </w:r>
      <w:r w:rsidRPr="009F0346">
        <w:rPr>
          <w:rFonts w:ascii="Palatino Linotype" w:hAnsi="Palatino Linotype" w:cstheme="minorHAnsi"/>
        </w:rPr>
        <w:t xml:space="preserve">.  </w:t>
      </w:r>
      <w:r w:rsidR="003B0CA7" w:rsidRPr="009F0346">
        <w:rPr>
          <w:rFonts w:ascii="Palatino Linotype" w:hAnsi="Palatino Linotype" w:cstheme="minorHAnsi"/>
        </w:rPr>
        <w:t xml:space="preserve">Harvard’s Joint Center for Housing Studies states that, “to develop new apartments affordable to renter households with incomes equivalent to the full-time minimum wage, the construction cost would have to be 28 percent of the current average (which is already 30 percent below the 2007 peak in real terms).”  </w:t>
      </w:r>
    </w:p>
    <w:p w14:paraId="629F824E" w14:textId="77777777" w:rsidR="009F0346" w:rsidRPr="009F0346" w:rsidRDefault="009F0346" w:rsidP="009F0346">
      <w:pPr>
        <w:pStyle w:val="ListParagraph"/>
        <w:spacing w:after="0" w:line="240" w:lineRule="auto"/>
        <w:ind w:left="630"/>
        <w:jc w:val="both"/>
        <w:rPr>
          <w:rFonts w:ascii="Palatino Linotype" w:hAnsi="Palatino Linotype" w:cstheme="minorHAnsi"/>
        </w:rPr>
      </w:pPr>
    </w:p>
    <w:p w14:paraId="1074556A" w14:textId="64C1DB2E" w:rsidR="00251CE6" w:rsidRPr="007E0A3F" w:rsidRDefault="007E0A3F" w:rsidP="00D5714C">
      <w:pPr>
        <w:pStyle w:val="ListParagraph"/>
        <w:numPr>
          <w:ilvl w:val="0"/>
          <w:numId w:val="1"/>
        </w:numPr>
        <w:spacing w:after="0" w:line="240" w:lineRule="auto"/>
        <w:ind w:left="630"/>
        <w:jc w:val="both"/>
        <w:rPr>
          <w:rFonts w:ascii="Palatino Linotype" w:hAnsi="Palatino Linotype" w:cstheme="minorHAnsi"/>
        </w:rPr>
      </w:pPr>
      <w:r>
        <w:rPr>
          <w:rFonts w:ascii="Palatino Linotype" w:hAnsi="Palatino Linotype" w:cstheme="minorHAnsi"/>
          <w:b/>
        </w:rPr>
        <w:t>Successfully Serving the H</w:t>
      </w:r>
      <w:r w:rsidR="00251CE6" w:rsidRPr="007E0A3F">
        <w:rPr>
          <w:rFonts w:ascii="Palatino Linotype" w:hAnsi="Palatino Linotype" w:cstheme="minorHAnsi"/>
          <w:b/>
        </w:rPr>
        <w:t>ardest</w:t>
      </w:r>
      <w:r w:rsidR="00401E40" w:rsidRPr="007E0A3F">
        <w:rPr>
          <w:rFonts w:ascii="Palatino Linotype" w:hAnsi="Palatino Linotype" w:cstheme="minorHAnsi"/>
          <w:b/>
        </w:rPr>
        <w:t>-</w:t>
      </w:r>
      <w:r w:rsidR="00251CE6" w:rsidRPr="007E0A3F">
        <w:rPr>
          <w:rFonts w:ascii="Palatino Linotype" w:hAnsi="Palatino Linotype" w:cstheme="minorHAnsi"/>
          <w:b/>
        </w:rPr>
        <w:t>to</w:t>
      </w:r>
      <w:r w:rsidR="00401E40" w:rsidRPr="007E0A3F">
        <w:rPr>
          <w:rFonts w:ascii="Palatino Linotype" w:hAnsi="Palatino Linotype" w:cstheme="minorHAnsi"/>
          <w:b/>
        </w:rPr>
        <w:t>-</w:t>
      </w:r>
      <w:r>
        <w:rPr>
          <w:rFonts w:ascii="Palatino Linotype" w:hAnsi="Palatino Linotype" w:cstheme="minorHAnsi"/>
          <w:b/>
        </w:rPr>
        <w:t>Reach</w:t>
      </w:r>
      <w:r w:rsidR="00251CE6" w:rsidRPr="007E0A3F">
        <w:rPr>
          <w:rFonts w:ascii="Palatino Linotype" w:hAnsi="Palatino Linotype" w:cstheme="minorHAnsi"/>
          <w:b/>
        </w:rPr>
        <w:t xml:space="preserve"> </w:t>
      </w:r>
      <w:r>
        <w:rPr>
          <w:rFonts w:ascii="Palatino Linotype" w:hAnsi="Palatino Linotype" w:cstheme="minorHAnsi"/>
          <w:b/>
        </w:rPr>
        <w:t>P</w:t>
      </w:r>
      <w:r w:rsidR="005537FD" w:rsidRPr="007E0A3F">
        <w:rPr>
          <w:rFonts w:ascii="Palatino Linotype" w:hAnsi="Palatino Linotype" w:cstheme="minorHAnsi"/>
          <w:b/>
        </w:rPr>
        <w:t>opulations</w:t>
      </w:r>
      <w:r w:rsidR="00251CE6" w:rsidRPr="007E0A3F">
        <w:rPr>
          <w:rFonts w:ascii="Palatino Linotype" w:hAnsi="Palatino Linotype" w:cstheme="minorHAnsi"/>
          <w:b/>
        </w:rPr>
        <w:t>.</w:t>
      </w:r>
      <w:r w:rsidR="00251CE6" w:rsidRPr="007E0A3F">
        <w:rPr>
          <w:rFonts w:ascii="Palatino Linotype" w:hAnsi="Palatino Linotype" w:cstheme="minorHAnsi"/>
        </w:rPr>
        <w:t xml:space="preserve">  The Credit </w:t>
      </w:r>
      <w:r w:rsidR="00002591">
        <w:rPr>
          <w:rFonts w:ascii="Palatino Linotype" w:hAnsi="Palatino Linotype" w:cstheme="minorHAnsi"/>
        </w:rPr>
        <w:t>consistently serves</w:t>
      </w:r>
      <w:r w:rsidR="00251CE6" w:rsidRPr="007E0A3F">
        <w:rPr>
          <w:rFonts w:ascii="Palatino Linotype" w:hAnsi="Palatino Linotype" w:cstheme="minorHAnsi"/>
        </w:rPr>
        <w:t xml:space="preserve"> households with incomes far below its statutorily mandated income limit of 60 percent of area median income (AMI).  </w:t>
      </w:r>
      <w:r w:rsidR="005537FD" w:rsidRPr="007E0A3F">
        <w:rPr>
          <w:rFonts w:ascii="Palatino Linotype" w:hAnsi="Palatino Linotype" w:cstheme="minorHAnsi"/>
        </w:rPr>
        <w:t>According to HUD data on Housing Credit resident demographics, nearly half (46 percent) of all households living in Housing Credit apartments are extremely low-income, meaning they earn 30 percent or less of AMI.  Another 35 percent of residents are very low-income, meaning they earn more than 30 percent, but less than 50 percent of AMI.  Not only does the Housing Credit serve low-income families, but it is also instrumental in financing housing for low-income seniors, veterans, pe</w:t>
      </w:r>
      <w:r w:rsidR="00EB641D" w:rsidRPr="007E0A3F">
        <w:rPr>
          <w:rFonts w:ascii="Palatino Linotype" w:hAnsi="Palatino Linotype" w:cstheme="minorHAnsi"/>
        </w:rPr>
        <w:t xml:space="preserve">rsons </w:t>
      </w:r>
      <w:r w:rsidR="005537FD" w:rsidRPr="007E0A3F">
        <w:rPr>
          <w:rFonts w:ascii="Palatino Linotype" w:hAnsi="Palatino Linotype" w:cstheme="minorHAnsi"/>
        </w:rPr>
        <w:t xml:space="preserve">with disabilities, and </w:t>
      </w:r>
      <w:r w:rsidR="00EB641D" w:rsidRPr="007E0A3F">
        <w:rPr>
          <w:rFonts w:ascii="Palatino Linotype" w:hAnsi="Palatino Linotype" w:cstheme="minorHAnsi"/>
        </w:rPr>
        <w:t xml:space="preserve">persons experiencing </w:t>
      </w:r>
      <w:r w:rsidR="005537FD" w:rsidRPr="007E0A3F">
        <w:rPr>
          <w:rFonts w:ascii="Palatino Linotype" w:hAnsi="Palatino Linotype" w:cstheme="minorHAnsi"/>
        </w:rPr>
        <w:t>homeless</w:t>
      </w:r>
      <w:r w:rsidR="00EB641D" w:rsidRPr="007E0A3F">
        <w:rPr>
          <w:rFonts w:ascii="Palatino Linotype" w:hAnsi="Palatino Linotype" w:cstheme="minorHAnsi"/>
        </w:rPr>
        <w:t>ness</w:t>
      </w:r>
      <w:r w:rsidR="005537FD" w:rsidRPr="007E0A3F">
        <w:rPr>
          <w:rFonts w:ascii="Palatino Linotype" w:hAnsi="Palatino Linotype" w:cstheme="minorHAnsi"/>
        </w:rPr>
        <w:t xml:space="preserve">.  </w:t>
      </w:r>
    </w:p>
    <w:p w14:paraId="59FD7FF9" w14:textId="77777777" w:rsidR="00251CE6" w:rsidRPr="007E0A3F" w:rsidRDefault="00251CE6" w:rsidP="00D5714C">
      <w:pPr>
        <w:pStyle w:val="ListParagraph"/>
        <w:ind w:left="630"/>
        <w:rPr>
          <w:rFonts w:ascii="Palatino Linotype" w:hAnsi="Palatino Linotype" w:cstheme="minorHAnsi"/>
          <w:b/>
        </w:rPr>
      </w:pPr>
    </w:p>
    <w:p w14:paraId="2A48A50E" w14:textId="77777777" w:rsidR="000476BE" w:rsidRPr="007E0A3F" w:rsidRDefault="000476BE" w:rsidP="007E0A3F">
      <w:pPr>
        <w:rPr>
          <w:rFonts w:ascii="Palatino Linotype" w:hAnsi="Palatino Linotype" w:cstheme="minorHAnsi"/>
        </w:rPr>
      </w:pPr>
    </w:p>
    <w:p w14:paraId="13D875A4" w14:textId="77777777" w:rsidR="00BF1F7E" w:rsidRPr="007E0A3F" w:rsidRDefault="00BF1F7E" w:rsidP="00D5714C">
      <w:pPr>
        <w:spacing w:after="0" w:line="240" w:lineRule="auto"/>
        <w:ind w:left="630"/>
        <w:jc w:val="both"/>
        <w:rPr>
          <w:rFonts w:ascii="Palatino Linotype" w:hAnsi="Palatino Linotype" w:cstheme="minorHAnsi"/>
        </w:rPr>
      </w:pPr>
    </w:p>
    <w:sectPr w:rsidR="00BF1F7E" w:rsidRPr="007E0A3F" w:rsidSect="007C5523">
      <w:headerReference w:type="default" r:id="rId8"/>
      <w:footerReference w:type="default" r:id="rId9"/>
      <w:headerReference w:type="first" r:id="rId10"/>
      <w:footerReference w:type="first" r:id="rId11"/>
      <w:pgSz w:w="12240" w:h="15840"/>
      <w:pgMar w:top="1008" w:right="1152" w:bottom="1008" w:left="1152" w:header="63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7B2BD" w14:textId="77777777" w:rsidR="00994027" w:rsidRDefault="00994027" w:rsidP="003B0CA7">
      <w:pPr>
        <w:spacing w:after="0" w:line="240" w:lineRule="auto"/>
      </w:pPr>
      <w:r>
        <w:separator/>
      </w:r>
    </w:p>
  </w:endnote>
  <w:endnote w:type="continuationSeparator" w:id="0">
    <w:p w14:paraId="6CB8DE3E" w14:textId="77777777" w:rsidR="00994027" w:rsidRDefault="00994027" w:rsidP="003B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197FC" w14:textId="77777777" w:rsidR="002769A7" w:rsidRDefault="002769A7" w:rsidP="002769A7">
    <w:pPr>
      <w:pStyle w:val="Footer"/>
      <w:jc w:val="center"/>
    </w:pPr>
    <w:r>
      <w:rPr>
        <w:noProof/>
      </w:rPr>
      <w:drawing>
        <wp:inline distT="0" distB="0" distL="0" distR="0" wp14:anchorId="547C526B" wp14:editId="4072B58D">
          <wp:extent cx="5947410" cy="6680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410" cy="66802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908D3" w14:textId="701165DA" w:rsidR="00D5714C" w:rsidRDefault="00D5714C">
    <w:pPr>
      <w:pStyle w:val="Footer"/>
    </w:pPr>
    <w:r>
      <w:rPr>
        <w:noProof/>
      </w:rPr>
      <w:drawing>
        <wp:inline distT="0" distB="0" distL="0" distR="0" wp14:anchorId="667D4624" wp14:editId="6EF8CD49">
          <wp:extent cx="5947410" cy="6680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410" cy="6680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B676C" w14:textId="77777777" w:rsidR="00994027" w:rsidRDefault="00994027" w:rsidP="003B0CA7">
      <w:pPr>
        <w:spacing w:after="0" w:line="240" w:lineRule="auto"/>
      </w:pPr>
      <w:r>
        <w:separator/>
      </w:r>
    </w:p>
  </w:footnote>
  <w:footnote w:type="continuationSeparator" w:id="0">
    <w:p w14:paraId="0CCC3D82" w14:textId="77777777" w:rsidR="00994027" w:rsidRDefault="00994027" w:rsidP="003B0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98BDD" w14:textId="77777777" w:rsidR="002769A7" w:rsidRDefault="002769A7" w:rsidP="002769A7">
    <w:pPr>
      <w:pStyle w:val="Header"/>
      <w:tabs>
        <w:tab w:val="clear" w:pos="4680"/>
        <w:tab w:val="center" w:pos="5040"/>
      </w:tabs>
      <w:jc w:val="center"/>
    </w:pPr>
    <w:r>
      <w:ptab w:relativeTo="margin" w:alignment="lef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60DE4" w14:textId="096EBD55" w:rsidR="00D5714C" w:rsidRPr="00D5714C" w:rsidRDefault="00D5714C" w:rsidP="00D571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F95"/>
    <w:multiLevelType w:val="hybridMultilevel"/>
    <w:tmpl w:val="1960E50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752490D"/>
    <w:multiLevelType w:val="hybridMultilevel"/>
    <w:tmpl w:val="A25E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B013D"/>
    <w:multiLevelType w:val="hybridMultilevel"/>
    <w:tmpl w:val="DD4A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5D6AAB"/>
    <w:multiLevelType w:val="hybridMultilevel"/>
    <w:tmpl w:val="213E8DD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A7"/>
    <w:rsid w:val="00002591"/>
    <w:rsid w:val="00041358"/>
    <w:rsid w:val="000476BE"/>
    <w:rsid w:val="00056CC6"/>
    <w:rsid w:val="00063520"/>
    <w:rsid w:val="000A76D5"/>
    <w:rsid w:val="000B674C"/>
    <w:rsid w:val="000D46A1"/>
    <w:rsid w:val="001050AC"/>
    <w:rsid w:val="00140765"/>
    <w:rsid w:val="001A3861"/>
    <w:rsid w:val="001B7E4D"/>
    <w:rsid w:val="00251CE6"/>
    <w:rsid w:val="0025311E"/>
    <w:rsid w:val="002769A7"/>
    <w:rsid w:val="00375CFE"/>
    <w:rsid w:val="00386576"/>
    <w:rsid w:val="003B0CA7"/>
    <w:rsid w:val="003B3472"/>
    <w:rsid w:val="003F1D68"/>
    <w:rsid w:val="00401E40"/>
    <w:rsid w:val="00404DBC"/>
    <w:rsid w:val="0044654F"/>
    <w:rsid w:val="00463ED1"/>
    <w:rsid w:val="00480026"/>
    <w:rsid w:val="004C05C8"/>
    <w:rsid w:val="004D65F2"/>
    <w:rsid w:val="005537FD"/>
    <w:rsid w:val="00555D07"/>
    <w:rsid w:val="00570716"/>
    <w:rsid w:val="00572A01"/>
    <w:rsid w:val="0059480E"/>
    <w:rsid w:val="005B60A9"/>
    <w:rsid w:val="005D6960"/>
    <w:rsid w:val="00600BCF"/>
    <w:rsid w:val="0061781E"/>
    <w:rsid w:val="00673A91"/>
    <w:rsid w:val="00684EC5"/>
    <w:rsid w:val="007118E5"/>
    <w:rsid w:val="00732186"/>
    <w:rsid w:val="007A6661"/>
    <w:rsid w:val="007C5523"/>
    <w:rsid w:val="007E0A3F"/>
    <w:rsid w:val="00813F2F"/>
    <w:rsid w:val="0081611B"/>
    <w:rsid w:val="008401AB"/>
    <w:rsid w:val="008733B7"/>
    <w:rsid w:val="00907629"/>
    <w:rsid w:val="00961B7A"/>
    <w:rsid w:val="00994027"/>
    <w:rsid w:val="009B19CA"/>
    <w:rsid w:val="009B6246"/>
    <w:rsid w:val="009E054F"/>
    <w:rsid w:val="009F0346"/>
    <w:rsid w:val="009F21C5"/>
    <w:rsid w:val="00A126F6"/>
    <w:rsid w:val="00AA47FD"/>
    <w:rsid w:val="00AD11B3"/>
    <w:rsid w:val="00AD5037"/>
    <w:rsid w:val="00B27FF4"/>
    <w:rsid w:val="00B368C4"/>
    <w:rsid w:val="00B51DE6"/>
    <w:rsid w:val="00B74462"/>
    <w:rsid w:val="00BF1F7E"/>
    <w:rsid w:val="00C04119"/>
    <w:rsid w:val="00C5304C"/>
    <w:rsid w:val="00C76762"/>
    <w:rsid w:val="00CB6440"/>
    <w:rsid w:val="00CD5E6E"/>
    <w:rsid w:val="00D00559"/>
    <w:rsid w:val="00D36A2B"/>
    <w:rsid w:val="00D5714C"/>
    <w:rsid w:val="00D73AE9"/>
    <w:rsid w:val="00DB17DC"/>
    <w:rsid w:val="00E075DF"/>
    <w:rsid w:val="00EA54FD"/>
    <w:rsid w:val="00EB641D"/>
    <w:rsid w:val="00ED53F5"/>
    <w:rsid w:val="00F03A98"/>
    <w:rsid w:val="00F369C5"/>
    <w:rsid w:val="00F84BD9"/>
    <w:rsid w:val="00FA3036"/>
    <w:rsid w:val="00FE13FA"/>
    <w:rsid w:val="00FE5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78583F"/>
  <w15:docId w15:val="{05B3F6B2-A1CC-4205-99C9-EBDA740F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CA7"/>
    <w:pPr>
      <w:ind w:left="720"/>
      <w:contextualSpacing/>
    </w:pPr>
  </w:style>
  <w:style w:type="paragraph" w:styleId="Header">
    <w:name w:val="header"/>
    <w:basedOn w:val="Normal"/>
    <w:link w:val="HeaderChar"/>
    <w:uiPriority w:val="99"/>
    <w:unhideWhenUsed/>
    <w:rsid w:val="003B0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CA7"/>
  </w:style>
  <w:style w:type="paragraph" w:styleId="Footer">
    <w:name w:val="footer"/>
    <w:basedOn w:val="Normal"/>
    <w:link w:val="FooterChar"/>
    <w:uiPriority w:val="99"/>
    <w:unhideWhenUsed/>
    <w:rsid w:val="003B0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CA7"/>
  </w:style>
  <w:style w:type="paragraph" w:styleId="BalloonText">
    <w:name w:val="Balloon Text"/>
    <w:basedOn w:val="Normal"/>
    <w:link w:val="BalloonTextChar"/>
    <w:uiPriority w:val="99"/>
    <w:semiHidden/>
    <w:unhideWhenUsed/>
    <w:rsid w:val="003B0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A7"/>
    <w:rPr>
      <w:rFonts w:ascii="Tahoma" w:hAnsi="Tahoma" w:cs="Tahoma"/>
      <w:sz w:val="16"/>
      <w:szCs w:val="16"/>
    </w:rPr>
  </w:style>
  <w:style w:type="paragraph" w:styleId="FootnoteText">
    <w:name w:val="footnote text"/>
    <w:basedOn w:val="Normal"/>
    <w:link w:val="FootnoteTextChar"/>
    <w:uiPriority w:val="99"/>
    <w:semiHidden/>
    <w:unhideWhenUsed/>
    <w:rsid w:val="009F21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21C5"/>
    <w:rPr>
      <w:sz w:val="20"/>
      <w:szCs w:val="20"/>
    </w:rPr>
  </w:style>
  <w:style w:type="character" w:styleId="FootnoteReference">
    <w:name w:val="footnote reference"/>
    <w:basedOn w:val="DefaultParagraphFont"/>
    <w:uiPriority w:val="99"/>
    <w:semiHidden/>
    <w:unhideWhenUsed/>
    <w:rsid w:val="009F21C5"/>
    <w:rPr>
      <w:vertAlign w:val="superscript"/>
    </w:rPr>
  </w:style>
  <w:style w:type="character" w:styleId="Hyperlink">
    <w:name w:val="Hyperlink"/>
    <w:basedOn w:val="DefaultParagraphFont"/>
    <w:uiPriority w:val="99"/>
    <w:unhideWhenUsed/>
    <w:rsid w:val="009F21C5"/>
    <w:rPr>
      <w:color w:val="0000FF" w:themeColor="hyperlink"/>
      <w:u w:val="single"/>
    </w:rPr>
  </w:style>
  <w:style w:type="character" w:styleId="CommentReference">
    <w:name w:val="annotation reference"/>
    <w:basedOn w:val="DefaultParagraphFont"/>
    <w:uiPriority w:val="99"/>
    <w:semiHidden/>
    <w:unhideWhenUsed/>
    <w:rsid w:val="00063520"/>
    <w:rPr>
      <w:sz w:val="16"/>
      <w:szCs w:val="16"/>
    </w:rPr>
  </w:style>
  <w:style w:type="paragraph" w:styleId="CommentText">
    <w:name w:val="annotation text"/>
    <w:basedOn w:val="Normal"/>
    <w:link w:val="CommentTextChar"/>
    <w:uiPriority w:val="99"/>
    <w:semiHidden/>
    <w:unhideWhenUsed/>
    <w:rsid w:val="00063520"/>
    <w:pPr>
      <w:spacing w:line="240" w:lineRule="auto"/>
    </w:pPr>
    <w:rPr>
      <w:sz w:val="20"/>
      <w:szCs w:val="20"/>
    </w:rPr>
  </w:style>
  <w:style w:type="character" w:customStyle="1" w:styleId="CommentTextChar">
    <w:name w:val="Comment Text Char"/>
    <w:basedOn w:val="DefaultParagraphFont"/>
    <w:link w:val="CommentText"/>
    <w:uiPriority w:val="99"/>
    <w:semiHidden/>
    <w:rsid w:val="00063520"/>
    <w:rPr>
      <w:sz w:val="20"/>
      <w:szCs w:val="20"/>
    </w:rPr>
  </w:style>
  <w:style w:type="paragraph" w:styleId="CommentSubject">
    <w:name w:val="annotation subject"/>
    <w:basedOn w:val="CommentText"/>
    <w:next w:val="CommentText"/>
    <w:link w:val="CommentSubjectChar"/>
    <w:uiPriority w:val="99"/>
    <w:semiHidden/>
    <w:unhideWhenUsed/>
    <w:rsid w:val="00063520"/>
    <w:rPr>
      <w:b/>
      <w:bCs/>
    </w:rPr>
  </w:style>
  <w:style w:type="character" w:customStyle="1" w:styleId="CommentSubjectChar">
    <w:name w:val="Comment Subject Char"/>
    <w:basedOn w:val="CommentTextChar"/>
    <w:link w:val="CommentSubject"/>
    <w:uiPriority w:val="99"/>
    <w:semiHidden/>
    <w:rsid w:val="000635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85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498A4-0E8D-4A51-97FF-F6C360B6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4789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Schwartz</dc:creator>
  <cp:lastModifiedBy>Leslie Black-Plumeau</cp:lastModifiedBy>
  <cp:revision>2</cp:revision>
  <cp:lastPrinted>2016-12-08T17:07:00Z</cp:lastPrinted>
  <dcterms:created xsi:type="dcterms:W3CDTF">2016-12-22T18:32:00Z</dcterms:created>
  <dcterms:modified xsi:type="dcterms:W3CDTF">2016-12-22T18:32:00Z</dcterms:modified>
</cp:coreProperties>
</file>