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46" w:rsidRPr="00312A1C" w:rsidRDefault="007D3F46">
      <w:pPr>
        <w:jc w:val="center"/>
        <w:rPr>
          <w:rFonts w:ascii="Arial" w:hAnsi="Arial" w:cs="Arial"/>
          <w:b/>
          <w:sz w:val="32"/>
        </w:rPr>
      </w:pPr>
    </w:p>
    <w:p w:rsidR="007D3F46" w:rsidRPr="00312A1C" w:rsidRDefault="007D3F46">
      <w:pPr>
        <w:jc w:val="center"/>
        <w:rPr>
          <w:rFonts w:ascii="Arial" w:hAnsi="Arial" w:cs="Arial"/>
          <w:b/>
          <w:sz w:val="32"/>
        </w:rPr>
      </w:pPr>
      <w:r w:rsidRPr="00312A1C">
        <w:rPr>
          <w:rFonts w:ascii="Arial" w:hAnsi="Arial" w:cs="Arial"/>
          <w:b/>
          <w:sz w:val="32"/>
        </w:rPr>
        <w:t>M E M O R A N D U M</w:t>
      </w:r>
    </w:p>
    <w:p w:rsidR="007D3F46" w:rsidRPr="00312A1C" w:rsidRDefault="007D3F46">
      <w:pPr>
        <w:rPr>
          <w:rFonts w:ascii="Arial" w:hAnsi="Arial" w:cs="Arial"/>
        </w:rPr>
      </w:pPr>
    </w:p>
    <w:p w:rsidR="007D3F46" w:rsidRPr="00577F60" w:rsidRDefault="007D3F46">
      <w:pPr>
        <w:tabs>
          <w:tab w:val="right" w:pos="1440"/>
          <w:tab w:val="left" w:pos="2160"/>
        </w:tabs>
        <w:rPr>
          <w:rFonts w:ascii="Arial" w:hAnsi="Arial" w:cs="Arial"/>
          <w:sz w:val="22"/>
          <w:szCs w:val="22"/>
        </w:rPr>
      </w:pPr>
      <w:r w:rsidRPr="00577F60">
        <w:rPr>
          <w:rFonts w:ascii="Arial" w:hAnsi="Arial" w:cs="Arial"/>
          <w:sz w:val="22"/>
          <w:szCs w:val="22"/>
        </w:rPr>
        <w:tab/>
      </w:r>
      <w:r w:rsidRPr="00577F60">
        <w:rPr>
          <w:rFonts w:ascii="Arial" w:hAnsi="Arial" w:cs="Arial"/>
          <w:b/>
          <w:sz w:val="22"/>
          <w:szCs w:val="22"/>
        </w:rPr>
        <w:t>TO:</w:t>
      </w:r>
      <w:r w:rsidRPr="00577F60">
        <w:rPr>
          <w:rFonts w:ascii="Arial" w:hAnsi="Arial" w:cs="Arial"/>
          <w:sz w:val="22"/>
          <w:szCs w:val="22"/>
        </w:rPr>
        <w:tab/>
      </w:r>
      <w:r w:rsidRPr="00577F60">
        <w:rPr>
          <w:rFonts w:ascii="Arial" w:hAnsi="Arial" w:cs="Arial"/>
          <w:spacing w:val="-3"/>
          <w:sz w:val="22"/>
          <w:szCs w:val="22"/>
        </w:rPr>
        <w:t>Owners and Managers of Tax Credit Properties</w:t>
      </w:r>
    </w:p>
    <w:p w:rsidR="007D3F46" w:rsidRPr="00577F60" w:rsidRDefault="007D3F46">
      <w:pPr>
        <w:tabs>
          <w:tab w:val="right" w:pos="810"/>
          <w:tab w:val="left" w:pos="1440"/>
        </w:tabs>
        <w:rPr>
          <w:rFonts w:ascii="Arial" w:hAnsi="Arial" w:cs="Arial"/>
          <w:sz w:val="22"/>
          <w:szCs w:val="22"/>
        </w:rPr>
      </w:pPr>
    </w:p>
    <w:p w:rsidR="007D3F46" w:rsidRPr="00577F60" w:rsidRDefault="007D3F46">
      <w:pPr>
        <w:tabs>
          <w:tab w:val="right" w:pos="1440"/>
          <w:tab w:val="left" w:pos="2160"/>
        </w:tabs>
        <w:rPr>
          <w:rFonts w:ascii="Arial" w:hAnsi="Arial" w:cs="Arial"/>
          <w:sz w:val="22"/>
          <w:szCs w:val="22"/>
        </w:rPr>
      </w:pPr>
      <w:r w:rsidRPr="00577F60">
        <w:rPr>
          <w:rFonts w:ascii="Arial" w:hAnsi="Arial" w:cs="Arial"/>
          <w:sz w:val="22"/>
          <w:szCs w:val="22"/>
        </w:rPr>
        <w:tab/>
      </w:r>
      <w:r w:rsidRPr="00577F60">
        <w:rPr>
          <w:rFonts w:ascii="Arial" w:hAnsi="Arial" w:cs="Arial"/>
          <w:b/>
          <w:sz w:val="22"/>
          <w:szCs w:val="22"/>
        </w:rPr>
        <w:t>FROM:</w:t>
      </w:r>
      <w:r w:rsidRPr="00577F60">
        <w:rPr>
          <w:rFonts w:ascii="Arial" w:hAnsi="Arial" w:cs="Arial"/>
          <w:sz w:val="22"/>
          <w:szCs w:val="22"/>
        </w:rPr>
        <w:tab/>
        <w:t xml:space="preserve">Kimberly A. Roy, </w:t>
      </w:r>
      <w:r w:rsidR="00312A1C" w:rsidRPr="00577F60">
        <w:rPr>
          <w:rFonts w:ascii="Arial" w:hAnsi="Arial" w:cs="Arial"/>
          <w:sz w:val="22"/>
          <w:szCs w:val="22"/>
        </w:rPr>
        <w:t>Director of Asset Management &amp; Compliance</w:t>
      </w:r>
    </w:p>
    <w:p w:rsidR="007D3F46" w:rsidRPr="00577F60" w:rsidRDefault="007D3F46">
      <w:pPr>
        <w:tabs>
          <w:tab w:val="right" w:pos="1440"/>
          <w:tab w:val="left" w:pos="2160"/>
        </w:tabs>
        <w:rPr>
          <w:rFonts w:ascii="Arial" w:hAnsi="Arial" w:cs="Arial"/>
          <w:sz w:val="22"/>
          <w:szCs w:val="22"/>
        </w:rPr>
      </w:pPr>
    </w:p>
    <w:p w:rsidR="007D3F46" w:rsidRPr="00577F60" w:rsidRDefault="007D3F46">
      <w:pPr>
        <w:tabs>
          <w:tab w:val="right" w:pos="1440"/>
          <w:tab w:val="left" w:pos="2160"/>
        </w:tabs>
        <w:rPr>
          <w:rFonts w:ascii="Arial" w:hAnsi="Arial" w:cs="Arial"/>
          <w:sz w:val="22"/>
          <w:szCs w:val="22"/>
        </w:rPr>
      </w:pPr>
      <w:r w:rsidRPr="00577F60">
        <w:rPr>
          <w:rFonts w:ascii="Arial" w:hAnsi="Arial" w:cs="Arial"/>
          <w:sz w:val="22"/>
          <w:szCs w:val="22"/>
        </w:rPr>
        <w:tab/>
      </w:r>
      <w:r w:rsidRPr="00577F60">
        <w:rPr>
          <w:rFonts w:ascii="Arial" w:hAnsi="Arial" w:cs="Arial"/>
          <w:b/>
          <w:sz w:val="22"/>
          <w:szCs w:val="22"/>
        </w:rPr>
        <w:t>DATE:</w:t>
      </w:r>
      <w:r w:rsidRPr="00577F60">
        <w:rPr>
          <w:rFonts w:ascii="Arial" w:hAnsi="Arial" w:cs="Arial"/>
          <w:sz w:val="22"/>
          <w:szCs w:val="22"/>
        </w:rPr>
        <w:tab/>
      </w:r>
      <w:r w:rsidR="00E743A7">
        <w:rPr>
          <w:rFonts w:ascii="Arial" w:hAnsi="Arial" w:cs="Arial"/>
          <w:sz w:val="22"/>
          <w:szCs w:val="22"/>
        </w:rPr>
        <w:t>September 18, 2018</w:t>
      </w:r>
    </w:p>
    <w:p w:rsidR="007D3F46" w:rsidRPr="00577F60" w:rsidRDefault="007D3F46">
      <w:pPr>
        <w:tabs>
          <w:tab w:val="right" w:pos="1440"/>
          <w:tab w:val="left" w:pos="2160"/>
        </w:tabs>
        <w:rPr>
          <w:rFonts w:ascii="Arial" w:hAnsi="Arial" w:cs="Arial"/>
          <w:sz w:val="22"/>
          <w:szCs w:val="22"/>
        </w:rPr>
      </w:pPr>
    </w:p>
    <w:p w:rsidR="007D3F46" w:rsidRPr="00577F60" w:rsidRDefault="007D3F46">
      <w:pPr>
        <w:tabs>
          <w:tab w:val="right" w:pos="1440"/>
          <w:tab w:val="left" w:pos="2160"/>
        </w:tabs>
        <w:ind w:left="2160" w:hanging="2160"/>
        <w:rPr>
          <w:rFonts w:ascii="Arial" w:hAnsi="Arial" w:cs="Arial"/>
          <w:b/>
          <w:sz w:val="22"/>
          <w:szCs w:val="22"/>
        </w:rPr>
      </w:pPr>
      <w:r w:rsidRPr="00577F60">
        <w:rPr>
          <w:rFonts w:ascii="Arial" w:hAnsi="Arial" w:cs="Arial"/>
          <w:sz w:val="22"/>
          <w:szCs w:val="22"/>
        </w:rPr>
        <w:tab/>
      </w:r>
      <w:r w:rsidRPr="00577F60">
        <w:rPr>
          <w:rFonts w:ascii="Arial" w:hAnsi="Arial" w:cs="Arial"/>
          <w:b/>
          <w:sz w:val="22"/>
          <w:szCs w:val="22"/>
        </w:rPr>
        <w:t>RE:</w:t>
      </w:r>
      <w:r w:rsidRPr="00577F60">
        <w:rPr>
          <w:rFonts w:ascii="Arial" w:hAnsi="Arial" w:cs="Arial"/>
          <w:b/>
          <w:sz w:val="22"/>
          <w:szCs w:val="22"/>
        </w:rPr>
        <w:tab/>
        <w:t xml:space="preserve">Hurricane </w:t>
      </w:r>
      <w:r w:rsidR="00056850">
        <w:rPr>
          <w:rFonts w:ascii="Arial" w:hAnsi="Arial" w:cs="Arial"/>
          <w:b/>
          <w:sz w:val="22"/>
          <w:szCs w:val="22"/>
        </w:rPr>
        <w:t>Florence</w:t>
      </w:r>
    </w:p>
    <w:p w:rsidR="007D3F46" w:rsidRPr="00577F60" w:rsidRDefault="007D3F46">
      <w:pPr>
        <w:tabs>
          <w:tab w:val="right" w:pos="1440"/>
          <w:tab w:val="left" w:pos="2160"/>
        </w:tabs>
        <w:ind w:left="2160" w:hanging="2160"/>
        <w:rPr>
          <w:rFonts w:ascii="Arial" w:hAnsi="Arial" w:cs="Arial"/>
          <w:sz w:val="22"/>
          <w:szCs w:val="22"/>
        </w:rPr>
      </w:pPr>
      <w:r w:rsidRPr="00577F60">
        <w:rPr>
          <w:rFonts w:ascii="Arial" w:hAnsi="Arial" w:cs="Arial"/>
          <w:b/>
          <w:sz w:val="22"/>
          <w:szCs w:val="22"/>
        </w:rPr>
        <w:tab/>
      </w:r>
      <w:r w:rsidRPr="00577F60">
        <w:rPr>
          <w:rFonts w:ascii="Arial" w:hAnsi="Arial" w:cs="Arial"/>
          <w:b/>
          <w:sz w:val="22"/>
          <w:szCs w:val="22"/>
        </w:rPr>
        <w:tab/>
      </w:r>
    </w:p>
    <w:p w:rsidR="007D3F46" w:rsidRPr="00577F60" w:rsidRDefault="007D3F46">
      <w:pPr>
        <w:suppressAutoHyphens/>
        <w:jc w:val="center"/>
        <w:rPr>
          <w:rFonts w:ascii="Arial" w:hAnsi="Arial" w:cs="Arial"/>
          <w:spacing w:val="-3"/>
          <w:sz w:val="22"/>
          <w:szCs w:val="22"/>
        </w:rPr>
      </w:pPr>
      <w:r w:rsidRPr="00577F60">
        <w:rPr>
          <w:rFonts w:ascii="Arial" w:hAnsi="Arial" w:cs="Arial"/>
          <w:spacing w:val="-3"/>
          <w:sz w:val="22"/>
          <w:szCs w:val="22"/>
        </w:rPr>
        <w:t>------------------------------------------------------------------------------</w:t>
      </w:r>
    </w:p>
    <w:p w:rsidR="007D3F46" w:rsidRPr="00577F60" w:rsidRDefault="007D3F46">
      <w:pPr>
        <w:suppressAutoHyphens/>
        <w:jc w:val="both"/>
        <w:rPr>
          <w:rFonts w:ascii="Arial" w:hAnsi="Arial" w:cs="Arial"/>
          <w:spacing w:val="-3"/>
          <w:sz w:val="22"/>
          <w:szCs w:val="22"/>
        </w:rPr>
      </w:pPr>
    </w:p>
    <w:p w:rsidR="00056850" w:rsidRPr="00056850" w:rsidRDefault="00056850" w:rsidP="00056850">
      <w:pPr>
        <w:rPr>
          <w:rFonts w:ascii="Arial" w:hAnsi="Arial" w:cs="Arial"/>
          <w:spacing w:val="-3"/>
          <w:sz w:val="22"/>
          <w:szCs w:val="22"/>
        </w:rPr>
      </w:pPr>
      <w:r w:rsidRPr="00056850">
        <w:rPr>
          <w:rFonts w:ascii="Arial" w:hAnsi="Arial" w:cs="Arial"/>
          <w:spacing w:val="-3"/>
          <w:sz w:val="22"/>
          <w:szCs w:val="22"/>
        </w:rPr>
        <w:t>On September 14, 2018, President Trump declared Hurricane Florence a major disaster. As of September 1</w:t>
      </w:r>
      <w:r w:rsidR="009A725C">
        <w:rPr>
          <w:rFonts w:ascii="Arial" w:hAnsi="Arial" w:cs="Arial"/>
          <w:spacing w:val="-3"/>
          <w:sz w:val="22"/>
          <w:szCs w:val="22"/>
        </w:rPr>
        <w:t>7</w:t>
      </w:r>
      <w:r w:rsidRPr="00056850">
        <w:rPr>
          <w:rFonts w:ascii="Arial" w:hAnsi="Arial" w:cs="Arial"/>
          <w:spacing w:val="-3"/>
          <w:sz w:val="22"/>
          <w:szCs w:val="22"/>
        </w:rPr>
        <w:t xml:space="preserve">, 2018, the Federal Emergency Management Agency (FEMA) designated </w:t>
      </w:r>
      <w:r w:rsidR="009A725C">
        <w:rPr>
          <w:rFonts w:ascii="Arial" w:hAnsi="Arial" w:cs="Arial"/>
          <w:spacing w:val="-3"/>
          <w:sz w:val="22"/>
          <w:szCs w:val="22"/>
        </w:rPr>
        <w:t>several</w:t>
      </w:r>
      <w:r w:rsidRPr="00056850">
        <w:rPr>
          <w:rFonts w:ascii="Arial" w:hAnsi="Arial" w:cs="Arial"/>
          <w:spacing w:val="-3"/>
          <w:sz w:val="22"/>
          <w:szCs w:val="22"/>
        </w:rPr>
        <w:t xml:space="preserve"> North Carolina counties as major disaster areas. Review the list of eligible counties here: </w:t>
      </w:r>
      <w:hyperlink r:id="rId7" w:tgtFrame="_blank" w:history="1">
        <w:r w:rsidRPr="00056850">
          <w:rPr>
            <w:rFonts w:ascii="Arial" w:hAnsi="Arial" w:cs="Arial"/>
            <w:b/>
            <w:spacing w:val="-3"/>
            <w:sz w:val="22"/>
            <w:szCs w:val="22"/>
            <w:u w:val="single"/>
          </w:rPr>
          <w:t>https://www.fema.gov/disaster/4393</w:t>
        </w:r>
      </w:hyperlink>
      <w:r w:rsidRPr="00056850">
        <w:rPr>
          <w:rFonts w:ascii="Arial" w:hAnsi="Arial" w:cs="Arial"/>
          <w:spacing w:val="-3"/>
          <w:sz w:val="22"/>
          <w:szCs w:val="22"/>
        </w:rPr>
        <w:t xml:space="preserve">. </w:t>
      </w:r>
    </w:p>
    <w:p w:rsidR="00056850" w:rsidRPr="00056850" w:rsidRDefault="00056850" w:rsidP="00056850">
      <w:pPr>
        <w:rPr>
          <w:rFonts w:ascii="Arial" w:hAnsi="Arial" w:cs="Arial"/>
          <w:spacing w:val="-3"/>
          <w:sz w:val="22"/>
          <w:szCs w:val="22"/>
        </w:rPr>
      </w:pPr>
      <w:r w:rsidRPr="00056850">
        <w:rPr>
          <w:rFonts w:ascii="Arial" w:hAnsi="Arial" w:cs="Arial"/>
          <w:spacing w:val="-3"/>
          <w:sz w:val="22"/>
          <w:szCs w:val="22"/>
        </w:rPr>
        <w:t> </w:t>
      </w:r>
    </w:p>
    <w:p w:rsidR="00056850" w:rsidRPr="00056850" w:rsidRDefault="00056850" w:rsidP="00056850">
      <w:pPr>
        <w:rPr>
          <w:rFonts w:ascii="Arial" w:hAnsi="Arial" w:cs="Arial"/>
          <w:spacing w:val="-3"/>
          <w:sz w:val="22"/>
          <w:szCs w:val="22"/>
        </w:rPr>
      </w:pPr>
      <w:r w:rsidRPr="00056850">
        <w:rPr>
          <w:rFonts w:ascii="Arial" w:hAnsi="Arial" w:cs="Arial"/>
          <w:spacing w:val="-3"/>
          <w:sz w:val="22"/>
          <w:szCs w:val="22"/>
        </w:rPr>
        <w:t>Under </w:t>
      </w:r>
      <w:hyperlink r:id="rId8" w:tgtFrame="_blank" w:history="1">
        <w:r w:rsidRPr="00056850">
          <w:rPr>
            <w:rFonts w:ascii="Arial" w:hAnsi="Arial" w:cs="Arial"/>
            <w:b/>
            <w:spacing w:val="-3"/>
            <w:sz w:val="22"/>
            <w:szCs w:val="22"/>
            <w:u w:val="single"/>
          </w:rPr>
          <w:t>Internal Revenue Procedure 2014-49</w:t>
        </w:r>
      </w:hyperlink>
      <w:r w:rsidRPr="00056850">
        <w:rPr>
          <w:rFonts w:ascii="Arial" w:hAnsi="Arial" w:cs="Arial"/>
          <w:spacing w:val="-3"/>
          <w:sz w:val="22"/>
          <w:szCs w:val="22"/>
        </w:rPr>
        <w:t xml:space="preserve">, the IRS provides housing tax credit owners temporary relief from income requirements for individuals displaced by a major disaster. Households are eligible for emergency housing in tax credit properties if their principal residence was located in an area eligible for individual assistance. Units leased as emergency housing are subject to the program rent limits. The Internal Revenue Procedure 2014-49 allows units to be used on a transient basis and relieves the owner and household from providing evidence of income eligibility. The emergency relief period ends September 14, 2019. After this date, displaced </w:t>
      </w:r>
      <w:r w:rsidR="009A725C">
        <w:rPr>
          <w:rFonts w:ascii="Arial" w:hAnsi="Arial" w:cs="Arial"/>
          <w:spacing w:val="-3"/>
          <w:sz w:val="22"/>
          <w:szCs w:val="22"/>
        </w:rPr>
        <w:t>h</w:t>
      </w:r>
      <w:r w:rsidRPr="009A725C">
        <w:rPr>
          <w:rFonts w:ascii="Arial" w:hAnsi="Arial" w:cs="Arial"/>
          <w:spacing w:val="-3"/>
          <w:sz w:val="22"/>
          <w:szCs w:val="22"/>
        </w:rPr>
        <w:t>ouseholds</w:t>
      </w:r>
      <w:r w:rsidRPr="00056850">
        <w:rPr>
          <w:rFonts w:ascii="Arial" w:hAnsi="Arial" w:cs="Arial"/>
          <w:spacing w:val="-3"/>
          <w:sz w:val="22"/>
          <w:szCs w:val="22"/>
        </w:rPr>
        <w:t xml:space="preserve"> that cannot document eligibility for the housing tax credit program cannot occupy program units. </w:t>
      </w:r>
    </w:p>
    <w:p w:rsidR="00056850" w:rsidRPr="00056850" w:rsidRDefault="00056850" w:rsidP="00056850">
      <w:pPr>
        <w:rPr>
          <w:rFonts w:ascii="Arial" w:hAnsi="Arial" w:cs="Arial"/>
          <w:spacing w:val="-3"/>
          <w:sz w:val="22"/>
          <w:szCs w:val="22"/>
        </w:rPr>
      </w:pPr>
    </w:p>
    <w:p w:rsidR="007D3F46" w:rsidRPr="00577F60" w:rsidRDefault="007D3F46">
      <w:pPr>
        <w:suppressAutoHyphens/>
        <w:rPr>
          <w:rFonts w:ascii="Arial" w:hAnsi="Arial" w:cs="Arial"/>
          <w:spacing w:val="-3"/>
          <w:sz w:val="22"/>
          <w:szCs w:val="22"/>
        </w:rPr>
      </w:pPr>
      <w:r w:rsidRPr="00577F60">
        <w:rPr>
          <w:rFonts w:ascii="Arial" w:hAnsi="Arial" w:cs="Arial"/>
          <w:spacing w:val="-3"/>
          <w:sz w:val="22"/>
          <w:szCs w:val="22"/>
        </w:rPr>
        <w:t xml:space="preserve">Here are some of the highlights of the </w:t>
      </w:r>
      <w:r w:rsidR="00374FC7" w:rsidRPr="00577F60">
        <w:rPr>
          <w:rFonts w:ascii="Arial" w:hAnsi="Arial" w:cs="Arial"/>
          <w:spacing w:val="-3"/>
          <w:sz w:val="22"/>
          <w:szCs w:val="22"/>
        </w:rPr>
        <w:t>Revenue Procedure</w:t>
      </w:r>
      <w:r w:rsidRPr="00577F60">
        <w:rPr>
          <w:rFonts w:ascii="Arial" w:hAnsi="Arial" w:cs="Arial"/>
          <w:spacing w:val="-3"/>
          <w:sz w:val="22"/>
          <w:szCs w:val="22"/>
        </w:rPr>
        <w:t>:</w:t>
      </w:r>
    </w:p>
    <w:p w:rsidR="007D3F46" w:rsidRPr="00577F60" w:rsidRDefault="007D3F46">
      <w:pPr>
        <w:suppressAutoHyphens/>
        <w:rPr>
          <w:rFonts w:ascii="Arial" w:hAnsi="Arial" w:cs="Arial"/>
          <w:spacing w:val="-3"/>
          <w:sz w:val="22"/>
          <w:szCs w:val="22"/>
        </w:rPr>
      </w:pPr>
      <w:bookmarkStart w:id="0" w:name="_GoBack"/>
      <w:bookmarkEnd w:id="0"/>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Suspension of income limitations</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Vacant units in the first year of the credit period can be leased to displaced household</w:t>
      </w:r>
      <w:r w:rsidR="00C30FF1" w:rsidRPr="00577F60">
        <w:rPr>
          <w:rFonts w:ascii="Arial" w:hAnsi="Arial" w:cs="Arial"/>
          <w:spacing w:val="-3"/>
          <w:sz w:val="22"/>
          <w:szCs w:val="22"/>
        </w:rPr>
        <w:t>s</w:t>
      </w:r>
      <w:r w:rsidRPr="00577F60">
        <w:rPr>
          <w:rFonts w:ascii="Arial" w:hAnsi="Arial" w:cs="Arial"/>
          <w:spacing w:val="-3"/>
          <w:sz w:val="22"/>
          <w:szCs w:val="22"/>
        </w:rPr>
        <w:t xml:space="preserve"> and still continue to maintain the qualified basis and the set aside test (20/50 or 40/60)</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The status of the unit (low-income unit, market unit, or never previous occupied unit) prior to leasing to a displaced household, will continue its status after they vacate</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Suspension of non-transient requirement</w:t>
      </w:r>
    </w:p>
    <w:p w:rsidR="007D3F46" w:rsidRPr="00577F60" w:rsidRDefault="007D3F46">
      <w:pPr>
        <w:numPr>
          <w:ilvl w:val="0"/>
          <w:numId w:val="1"/>
        </w:numPr>
        <w:suppressAutoHyphens/>
        <w:rPr>
          <w:rFonts w:ascii="Arial" w:hAnsi="Arial" w:cs="Arial"/>
          <w:spacing w:val="-3"/>
          <w:sz w:val="22"/>
          <w:szCs w:val="22"/>
        </w:rPr>
      </w:pPr>
      <w:r w:rsidRPr="00577F60">
        <w:rPr>
          <w:rFonts w:ascii="Arial" w:hAnsi="Arial" w:cs="Arial"/>
          <w:spacing w:val="-3"/>
          <w:sz w:val="22"/>
          <w:szCs w:val="22"/>
        </w:rPr>
        <w:t>To qualify for relief, the following requirements must be met:</w:t>
      </w:r>
    </w:p>
    <w:p w:rsidR="007D3F46" w:rsidRPr="00577F60" w:rsidRDefault="007D3F46">
      <w:pPr>
        <w:numPr>
          <w:ilvl w:val="0"/>
          <w:numId w:val="2"/>
        </w:numPr>
        <w:suppressAutoHyphens/>
        <w:rPr>
          <w:rFonts w:ascii="Arial" w:hAnsi="Arial" w:cs="Arial"/>
          <w:spacing w:val="-3"/>
          <w:sz w:val="22"/>
          <w:szCs w:val="22"/>
        </w:rPr>
      </w:pPr>
      <w:r w:rsidRPr="00577F60">
        <w:rPr>
          <w:rFonts w:ascii="Arial" w:hAnsi="Arial" w:cs="Arial"/>
          <w:spacing w:val="-3"/>
          <w:sz w:val="22"/>
          <w:szCs w:val="22"/>
        </w:rPr>
        <w:t xml:space="preserve">Displaced individual must have resided in </w:t>
      </w:r>
      <w:r w:rsidR="00374FC7" w:rsidRPr="00577F60">
        <w:rPr>
          <w:rFonts w:ascii="Arial" w:hAnsi="Arial" w:cs="Arial"/>
          <w:spacing w:val="-3"/>
          <w:sz w:val="22"/>
          <w:szCs w:val="22"/>
        </w:rPr>
        <w:t>one of the</w:t>
      </w:r>
      <w:r w:rsidR="00161860">
        <w:rPr>
          <w:rFonts w:ascii="Arial" w:hAnsi="Arial" w:cs="Arial"/>
          <w:spacing w:val="-3"/>
          <w:sz w:val="22"/>
          <w:szCs w:val="22"/>
        </w:rPr>
        <w:t xml:space="preserve"> designated </w:t>
      </w:r>
      <w:r w:rsidR="00823C31">
        <w:rPr>
          <w:rFonts w:ascii="Arial" w:hAnsi="Arial" w:cs="Arial"/>
          <w:spacing w:val="-3"/>
          <w:sz w:val="22"/>
          <w:szCs w:val="22"/>
        </w:rPr>
        <w:t>areas</w:t>
      </w:r>
      <w:r w:rsidR="00374FC7" w:rsidRPr="00577F60">
        <w:rPr>
          <w:rFonts w:ascii="Arial" w:hAnsi="Arial" w:cs="Arial"/>
          <w:spacing w:val="-3"/>
          <w:sz w:val="22"/>
          <w:szCs w:val="22"/>
        </w:rPr>
        <w:t xml:space="preserve"> in</w:t>
      </w:r>
      <w:r w:rsidR="00823C31">
        <w:rPr>
          <w:rFonts w:ascii="Arial" w:hAnsi="Arial" w:cs="Arial"/>
          <w:spacing w:val="-3"/>
          <w:sz w:val="22"/>
          <w:szCs w:val="22"/>
        </w:rPr>
        <w:t xml:space="preserve"> the </w:t>
      </w:r>
      <w:r w:rsidR="00E743A7">
        <w:rPr>
          <w:rFonts w:ascii="Arial" w:hAnsi="Arial" w:cs="Arial"/>
          <w:spacing w:val="-3"/>
          <w:sz w:val="22"/>
          <w:szCs w:val="22"/>
        </w:rPr>
        <w:t xml:space="preserve">North Carolina </w:t>
      </w:r>
      <w:r w:rsidR="00546E17">
        <w:rPr>
          <w:rFonts w:ascii="Arial" w:hAnsi="Arial" w:cs="Arial"/>
          <w:spacing w:val="-3"/>
          <w:sz w:val="22"/>
          <w:szCs w:val="22"/>
        </w:rPr>
        <w:t xml:space="preserve">to be </w:t>
      </w:r>
      <w:r w:rsidR="00374FC7" w:rsidRPr="00577F60">
        <w:rPr>
          <w:rFonts w:ascii="Arial" w:hAnsi="Arial" w:cs="Arial"/>
          <w:spacing w:val="-3"/>
          <w:sz w:val="22"/>
          <w:szCs w:val="22"/>
        </w:rPr>
        <w:t>eligible</w:t>
      </w:r>
      <w:r w:rsidRPr="00577F60">
        <w:rPr>
          <w:rFonts w:ascii="Arial" w:hAnsi="Arial" w:cs="Arial"/>
          <w:spacing w:val="-3"/>
          <w:sz w:val="22"/>
          <w:szCs w:val="22"/>
        </w:rPr>
        <w:t xml:space="preserve"> </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Project owner must get approval from VHFA</w:t>
      </w:r>
      <w:r w:rsidR="001A5E2C" w:rsidRPr="00577F60">
        <w:rPr>
          <w:rFonts w:ascii="Arial" w:hAnsi="Arial" w:cs="Arial"/>
          <w:spacing w:val="-3"/>
          <w:sz w:val="22"/>
          <w:szCs w:val="22"/>
        </w:rPr>
        <w:t xml:space="preserve"> (attached)</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Must maintain and certify the following information: Name, address of damaged residence, social security number, and a statement signed by displaced individual.</w:t>
      </w:r>
    </w:p>
    <w:p w:rsidR="001A5E2C" w:rsidRPr="00577F60" w:rsidRDefault="001A5E2C">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Displaced individuals must fill out “Displaced Household Certification” (attached)</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Certify the date the displaced individual began temporary occupancy</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Rents must remain restricted</w:t>
      </w:r>
    </w:p>
    <w:p w:rsidR="007D3F46" w:rsidRPr="00577F60" w:rsidRDefault="007D3F46">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Cannot evict existing tenants to house displaced individuals</w:t>
      </w:r>
    </w:p>
    <w:p w:rsidR="001A5E2C" w:rsidRPr="00577F60" w:rsidRDefault="001A5E2C">
      <w:pPr>
        <w:numPr>
          <w:ilvl w:val="0"/>
          <w:numId w:val="2"/>
        </w:numPr>
        <w:tabs>
          <w:tab w:val="left" w:pos="1080"/>
        </w:tabs>
        <w:suppressAutoHyphens/>
        <w:rPr>
          <w:rFonts w:ascii="Arial" w:hAnsi="Arial" w:cs="Arial"/>
          <w:spacing w:val="-3"/>
          <w:sz w:val="22"/>
          <w:szCs w:val="22"/>
        </w:rPr>
      </w:pPr>
      <w:r w:rsidRPr="00577F60">
        <w:rPr>
          <w:rFonts w:ascii="Arial" w:hAnsi="Arial" w:cs="Arial"/>
          <w:spacing w:val="-3"/>
          <w:sz w:val="22"/>
          <w:szCs w:val="22"/>
        </w:rPr>
        <w:t>If displaced individual wishes to continue occupancy after the 12 month temporary housing period, the household must initially qualify for Section 42 and all documentation rules apply.</w:t>
      </w:r>
    </w:p>
    <w:p w:rsidR="007D3F46" w:rsidRPr="00577F60" w:rsidRDefault="007D3F46">
      <w:pPr>
        <w:tabs>
          <w:tab w:val="left" w:pos="1080"/>
        </w:tabs>
        <w:suppressAutoHyphens/>
        <w:rPr>
          <w:rFonts w:ascii="Arial" w:hAnsi="Arial" w:cs="Arial"/>
          <w:spacing w:val="-3"/>
          <w:sz w:val="22"/>
          <w:szCs w:val="22"/>
        </w:rPr>
      </w:pPr>
    </w:p>
    <w:p w:rsidR="007D3F46" w:rsidRPr="00577F60" w:rsidRDefault="007D3F46">
      <w:pPr>
        <w:tabs>
          <w:tab w:val="left" w:pos="1080"/>
        </w:tabs>
        <w:suppressAutoHyphens/>
        <w:rPr>
          <w:rFonts w:ascii="Garamond" w:hAnsi="Garamond"/>
          <w:spacing w:val="-3"/>
          <w:sz w:val="22"/>
          <w:szCs w:val="22"/>
        </w:rPr>
      </w:pPr>
      <w:r w:rsidRPr="00577F60">
        <w:rPr>
          <w:rFonts w:ascii="Arial" w:hAnsi="Arial" w:cs="Arial"/>
          <w:spacing w:val="-3"/>
          <w:sz w:val="22"/>
          <w:szCs w:val="22"/>
        </w:rPr>
        <w:t xml:space="preserve">Lastly, please be sure that you are posting your vacancies on the Directory of Affordable Rental Housing (DOARH) at </w:t>
      </w:r>
      <w:r w:rsidRPr="00577F60">
        <w:rPr>
          <w:rFonts w:ascii="Arial" w:hAnsi="Arial" w:cs="Arial"/>
          <w:spacing w:val="-3"/>
          <w:sz w:val="22"/>
          <w:szCs w:val="22"/>
          <w:u w:val="single"/>
        </w:rPr>
        <w:t>www.housingdata.org</w:t>
      </w:r>
      <w:r w:rsidRPr="00577F60">
        <w:rPr>
          <w:rFonts w:ascii="Arial" w:hAnsi="Arial" w:cs="Arial"/>
          <w:spacing w:val="-3"/>
          <w:sz w:val="22"/>
          <w:szCs w:val="22"/>
        </w:rPr>
        <w:t>.</w:t>
      </w:r>
    </w:p>
    <w:sectPr w:rsidR="007D3F46" w:rsidRPr="00577F60">
      <w:endnotePr>
        <w:numFmt w:val="decimal"/>
      </w:endnotePr>
      <w:pgSz w:w="12240" w:h="15840"/>
      <w:pgMar w:top="1440" w:right="1440" w:bottom="72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306" w:rsidRDefault="007E7306">
      <w:pPr>
        <w:spacing w:line="20" w:lineRule="exact"/>
      </w:pPr>
    </w:p>
  </w:endnote>
  <w:endnote w:type="continuationSeparator" w:id="0">
    <w:p w:rsidR="007E7306" w:rsidRDefault="007E7306">
      <w:r>
        <w:t xml:space="preserve"> </w:t>
      </w:r>
    </w:p>
  </w:endnote>
  <w:endnote w:type="continuationNotice" w:id="1">
    <w:p w:rsidR="007E7306" w:rsidRDefault="007E73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306" w:rsidRDefault="007E7306">
      <w:r>
        <w:separator/>
      </w:r>
    </w:p>
  </w:footnote>
  <w:footnote w:type="continuationSeparator" w:id="0">
    <w:p w:rsidR="007E7306" w:rsidRDefault="007E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D9"/>
    <w:multiLevelType w:val="hybridMultilevel"/>
    <w:tmpl w:val="8916BC5C"/>
    <w:lvl w:ilvl="0" w:tplc="EC5E7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D14444D"/>
    <w:multiLevelType w:val="hybridMultilevel"/>
    <w:tmpl w:val="114AA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46"/>
    <w:rsid w:val="00056850"/>
    <w:rsid w:val="00097AE1"/>
    <w:rsid w:val="000C7E95"/>
    <w:rsid w:val="00161860"/>
    <w:rsid w:val="001A5E2C"/>
    <w:rsid w:val="001E7C39"/>
    <w:rsid w:val="00290616"/>
    <w:rsid w:val="00312A1C"/>
    <w:rsid w:val="00343FA7"/>
    <w:rsid w:val="00374FC7"/>
    <w:rsid w:val="003E779E"/>
    <w:rsid w:val="00433B43"/>
    <w:rsid w:val="00546E17"/>
    <w:rsid w:val="00577F60"/>
    <w:rsid w:val="005D0FAC"/>
    <w:rsid w:val="007D3F46"/>
    <w:rsid w:val="007E7306"/>
    <w:rsid w:val="00815A1B"/>
    <w:rsid w:val="00823C31"/>
    <w:rsid w:val="00981DAC"/>
    <w:rsid w:val="009942B6"/>
    <w:rsid w:val="009A725C"/>
    <w:rsid w:val="00A009C7"/>
    <w:rsid w:val="00A7461D"/>
    <w:rsid w:val="00B42B4A"/>
    <w:rsid w:val="00B649F1"/>
    <w:rsid w:val="00C30FF1"/>
    <w:rsid w:val="00C76B85"/>
    <w:rsid w:val="00C95BFD"/>
    <w:rsid w:val="00DF5954"/>
    <w:rsid w:val="00E743A7"/>
    <w:rsid w:val="00E815DD"/>
    <w:rsid w:val="00F9583E"/>
    <w:rsid w:val="00FB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912D8D-9E96-4D6B-8718-6BDDBDD8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Rmn 12pt" w:hAnsi="TmsRm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suppressAutoHyphens/>
      <w:jc w:val="both"/>
    </w:pPr>
    <w:rPr>
      <w:rFonts w:ascii="Garamond" w:hAnsi="Garamond"/>
      <w:spacing w:val="-3"/>
    </w:rPr>
  </w:style>
  <w:style w:type="character" w:styleId="Hyperlink">
    <w:name w:val="Hyperlink"/>
    <w:basedOn w:val="DefaultParagraphFont"/>
    <w:rPr>
      <w:color w:val="0000FF"/>
      <w:u w:val="single"/>
    </w:rPr>
  </w:style>
  <w:style w:type="paragraph" w:styleId="BalloonText">
    <w:name w:val="Balloon Text"/>
    <w:basedOn w:val="Normal"/>
    <w:link w:val="BalloonTextChar"/>
    <w:rsid w:val="00C30FF1"/>
    <w:rPr>
      <w:rFonts w:ascii="Segoe UI" w:hAnsi="Segoe UI" w:cs="Segoe UI"/>
      <w:sz w:val="18"/>
      <w:szCs w:val="18"/>
    </w:rPr>
  </w:style>
  <w:style w:type="character" w:customStyle="1" w:styleId="BalloonTextChar">
    <w:name w:val="Balloon Text Char"/>
    <w:basedOn w:val="DefaultParagraphFont"/>
    <w:link w:val="BalloonText"/>
    <w:rsid w:val="00C30FF1"/>
    <w:rPr>
      <w:rFonts w:ascii="Segoe UI" w:hAnsi="Segoe UI" w:cs="Segoe UI"/>
      <w:sz w:val="18"/>
      <w:szCs w:val="18"/>
    </w:rPr>
  </w:style>
  <w:style w:type="character" w:styleId="FollowedHyperlink">
    <w:name w:val="FollowedHyperlink"/>
    <w:basedOn w:val="DefaultParagraphFont"/>
    <w:rsid w:val="00056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9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drop/rp-14-49.pdf" TargetMode="External"/><Relationship Id="rId3" Type="http://schemas.openxmlformats.org/officeDocument/2006/relationships/settings" Target="settings.xml"/><Relationship Id="rId7" Type="http://schemas.openxmlformats.org/officeDocument/2006/relationships/hyperlink" Target="https://www.fema.gov/disaster/43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409</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 E M O R A N D U M</vt:lpstr>
    </vt:vector>
  </TitlesOfParts>
  <Company>VHFA</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Data Processing</dc:creator>
  <cp:keywords/>
  <cp:lastModifiedBy>Kim Roy</cp:lastModifiedBy>
  <cp:revision>4</cp:revision>
  <cp:lastPrinted>2017-09-06T11:58:00Z</cp:lastPrinted>
  <dcterms:created xsi:type="dcterms:W3CDTF">2018-09-18T11:03:00Z</dcterms:created>
  <dcterms:modified xsi:type="dcterms:W3CDTF">2018-09-18T11:28:00Z</dcterms:modified>
</cp:coreProperties>
</file>