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9812" w14:textId="77777777" w:rsidR="001A4D8E" w:rsidRPr="00DF111F" w:rsidRDefault="001A4D8E" w:rsidP="00DF111F"/>
    <w:p w14:paraId="58DEB072" w14:textId="77777777" w:rsidR="001A4D8E" w:rsidRPr="00DF111F" w:rsidRDefault="001A4D8E" w:rsidP="00DF111F"/>
    <w:p w14:paraId="7223F14F" w14:textId="77777777" w:rsidR="001A4D8E" w:rsidRPr="00DF111F" w:rsidRDefault="001A4D8E" w:rsidP="00DF111F"/>
    <w:p w14:paraId="67ED531E" w14:textId="77777777" w:rsidR="001A4D8E" w:rsidRDefault="001A4D8E" w:rsidP="00DF111F"/>
    <w:p w14:paraId="169A83A3" w14:textId="77777777" w:rsidR="0076539D" w:rsidRPr="00DF111F" w:rsidRDefault="0076539D" w:rsidP="00DF111F"/>
    <w:p w14:paraId="40B8C09B" w14:textId="77777777" w:rsidR="00147FD9" w:rsidRPr="00BE1B70" w:rsidRDefault="00147FD9" w:rsidP="00147FD9">
      <w:pPr>
        <w:tabs>
          <w:tab w:val="clear" w:pos="2428"/>
        </w:tabs>
        <w:kinsoku w:val="0"/>
        <w:overflowPunct w:val="0"/>
        <w:autoSpaceDE w:val="0"/>
        <w:autoSpaceDN w:val="0"/>
        <w:adjustRightInd w:val="0"/>
        <w:spacing w:after="0" w:line="286" w:lineRule="exact"/>
        <w:ind w:left="3769" w:right="3769"/>
        <w:jc w:val="center"/>
        <w:rPr>
          <w:rFonts w:ascii="Arial" w:hAnsi="Arial" w:cs="Arial"/>
          <w:b/>
          <w:bCs/>
          <w:sz w:val="26"/>
          <w:szCs w:val="26"/>
        </w:rPr>
      </w:pPr>
      <w:r w:rsidRPr="00147FD9">
        <w:rPr>
          <w:rFonts w:ascii="Arial" w:hAnsi="Arial" w:cs="Arial"/>
          <w:b/>
          <w:bCs/>
          <w:sz w:val="26"/>
          <w:szCs w:val="26"/>
        </w:rPr>
        <w:t xml:space="preserve">Income Averaging </w:t>
      </w:r>
      <w:r w:rsidR="00BE1B70" w:rsidRPr="00BE1B70">
        <w:rPr>
          <w:rFonts w:ascii="Arial" w:hAnsi="Arial" w:cs="Arial"/>
          <w:b/>
          <w:bCs/>
          <w:sz w:val="26"/>
          <w:szCs w:val="26"/>
        </w:rPr>
        <w:t>P</w:t>
      </w:r>
      <w:r w:rsidRPr="00147FD9">
        <w:rPr>
          <w:rFonts w:ascii="Arial" w:hAnsi="Arial" w:cs="Arial"/>
          <w:b/>
          <w:bCs/>
          <w:sz w:val="26"/>
          <w:szCs w:val="26"/>
        </w:rPr>
        <w:t>olicy</w:t>
      </w:r>
    </w:p>
    <w:p w14:paraId="0AC1E396" w14:textId="77777777" w:rsidR="00147FD9" w:rsidRDefault="00147FD9" w:rsidP="00147FD9">
      <w:pPr>
        <w:tabs>
          <w:tab w:val="clear" w:pos="2428"/>
        </w:tabs>
        <w:kinsoku w:val="0"/>
        <w:overflowPunct w:val="0"/>
        <w:autoSpaceDE w:val="0"/>
        <w:autoSpaceDN w:val="0"/>
        <w:adjustRightInd w:val="0"/>
        <w:spacing w:after="0" w:line="286" w:lineRule="exact"/>
        <w:ind w:left="3769" w:right="3769"/>
        <w:jc w:val="center"/>
        <w:rPr>
          <w:rFonts w:ascii="Arial" w:hAnsi="Arial" w:cs="Arial"/>
          <w:b/>
          <w:bCs/>
          <w:sz w:val="28"/>
          <w:szCs w:val="28"/>
        </w:rPr>
      </w:pPr>
    </w:p>
    <w:p w14:paraId="4B44ACD6" w14:textId="77777777" w:rsidR="004D21EB" w:rsidRPr="00147FD9" w:rsidRDefault="004D21EB" w:rsidP="00147FD9">
      <w:pPr>
        <w:tabs>
          <w:tab w:val="clear" w:pos="2428"/>
        </w:tabs>
        <w:kinsoku w:val="0"/>
        <w:overflowPunct w:val="0"/>
        <w:autoSpaceDE w:val="0"/>
        <w:autoSpaceDN w:val="0"/>
        <w:adjustRightInd w:val="0"/>
        <w:spacing w:after="0" w:line="286" w:lineRule="exact"/>
        <w:ind w:left="3769" w:right="3769"/>
        <w:jc w:val="center"/>
        <w:rPr>
          <w:rFonts w:ascii="Arial" w:hAnsi="Arial" w:cs="Arial"/>
          <w:b/>
          <w:bCs/>
          <w:sz w:val="28"/>
          <w:szCs w:val="28"/>
        </w:rPr>
      </w:pPr>
    </w:p>
    <w:p w14:paraId="24A76230" w14:textId="2E57F866" w:rsidR="00147FD9" w:rsidRPr="0076539D" w:rsidRDefault="00147FD9" w:rsidP="00147FD9">
      <w:pPr>
        <w:tabs>
          <w:tab w:val="clear" w:pos="2428"/>
        </w:tabs>
        <w:kinsoku w:val="0"/>
        <w:overflowPunct w:val="0"/>
        <w:autoSpaceDE w:val="0"/>
        <w:autoSpaceDN w:val="0"/>
        <w:adjustRightInd w:val="0"/>
        <w:spacing w:after="0" w:line="273" w:lineRule="auto"/>
        <w:ind w:left="39"/>
        <w:rPr>
          <w:rFonts w:ascii="Arial" w:hAnsi="Arial" w:cs="Arial"/>
          <w:sz w:val="20"/>
          <w:szCs w:val="20"/>
        </w:rPr>
      </w:pPr>
      <w:r w:rsidRPr="0076539D">
        <w:rPr>
          <w:rFonts w:ascii="Arial" w:hAnsi="Arial" w:cs="Arial"/>
          <w:sz w:val="20"/>
          <w:szCs w:val="20"/>
        </w:rPr>
        <w:t>The Consolidated Appropriations Act of 2018 (the Act) established income averaging as a t</w:t>
      </w:r>
      <w:r w:rsidR="00E50980" w:rsidRPr="0076539D">
        <w:rPr>
          <w:rFonts w:ascii="Arial" w:hAnsi="Arial" w:cs="Arial"/>
          <w:sz w:val="20"/>
          <w:szCs w:val="20"/>
        </w:rPr>
        <w:t xml:space="preserve">hird minimum set-aside election for low income housing tax credit developments.  It allows qualified units </w:t>
      </w:r>
      <w:r w:rsidR="00221B4C">
        <w:rPr>
          <w:rFonts w:ascii="Arial" w:hAnsi="Arial" w:cs="Arial"/>
          <w:sz w:val="20"/>
          <w:szCs w:val="20"/>
        </w:rPr>
        <w:t>to serve households with income</w:t>
      </w:r>
      <w:r w:rsidR="00E50980" w:rsidRPr="0076539D">
        <w:rPr>
          <w:rFonts w:ascii="Arial" w:hAnsi="Arial" w:cs="Arial"/>
          <w:sz w:val="20"/>
          <w:szCs w:val="20"/>
        </w:rPr>
        <w:t xml:space="preserve"> as high at 80% of the Area Median Income (AMI) as long as the average income of these qualified units equals 60% or less of AMI.  VHFA will consider proposals for utilizing income averaging with applications submitted d</w:t>
      </w:r>
      <w:r w:rsidR="00221B4C">
        <w:rPr>
          <w:rFonts w:ascii="Arial" w:hAnsi="Arial" w:cs="Arial"/>
          <w:sz w:val="20"/>
          <w:szCs w:val="20"/>
        </w:rPr>
        <w:t xml:space="preserve">uring the </w:t>
      </w:r>
      <w:r w:rsidR="004C4C44">
        <w:rPr>
          <w:rFonts w:ascii="Arial" w:hAnsi="Arial" w:cs="Arial"/>
          <w:sz w:val="20"/>
          <w:szCs w:val="20"/>
        </w:rPr>
        <w:t>2020</w:t>
      </w:r>
      <w:r w:rsidR="00221B4C">
        <w:rPr>
          <w:rFonts w:ascii="Arial" w:hAnsi="Arial" w:cs="Arial"/>
          <w:sz w:val="20"/>
          <w:szCs w:val="20"/>
        </w:rPr>
        <w:t xml:space="preserve"> tax credit round and following.</w:t>
      </w:r>
    </w:p>
    <w:p w14:paraId="446E9A1D" w14:textId="77777777" w:rsidR="00147FD9" w:rsidRPr="0076539D" w:rsidRDefault="00147FD9" w:rsidP="00147FD9">
      <w:pPr>
        <w:tabs>
          <w:tab w:val="clear" w:pos="2428"/>
        </w:tabs>
        <w:kinsoku w:val="0"/>
        <w:overflowPunct w:val="0"/>
        <w:autoSpaceDE w:val="0"/>
        <w:autoSpaceDN w:val="0"/>
        <w:adjustRightInd w:val="0"/>
        <w:spacing w:before="11" w:after="0"/>
        <w:rPr>
          <w:rFonts w:ascii="Arial" w:hAnsi="Arial" w:cs="Arial"/>
          <w:sz w:val="20"/>
          <w:szCs w:val="20"/>
        </w:rPr>
      </w:pPr>
    </w:p>
    <w:p w14:paraId="621B19BC" w14:textId="77777777" w:rsidR="00147FD9" w:rsidRPr="0076539D" w:rsidRDefault="00E50980" w:rsidP="00147FD9">
      <w:pPr>
        <w:numPr>
          <w:ilvl w:val="0"/>
          <w:numId w:val="5"/>
        </w:numPr>
        <w:tabs>
          <w:tab w:val="clear" w:pos="2428"/>
          <w:tab w:val="left" w:pos="469"/>
        </w:tabs>
        <w:kinsoku w:val="0"/>
        <w:overflowPunct w:val="0"/>
        <w:autoSpaceDE w:val="0"/>
        <w:autoSpaceDN w:val="0"/>
        <w:adjustRightInd w:val="0"/>
        <w:spacing w:after="0"/>
        <w:ind w:hanging="360"/>
        <w:outlineLvl w:val="0"/>
        <w:rPr>
          <w:rFonts w:ascii="Arial" w:hAnsi="Arial" w:cs="Arial"/>
          <w:b/>
          <w:bCs/>
          <w:sz w:val="20"/>
          <w:szCs w:val="20"/>
        </w:rPr>
      </w:pPr>
      <w:r w:rsidRPr="0076539D">
        <w:rPr>
          <w:rFonts w:ascii="Arial" w:hAnsi="Arial" w:cs="Arial"/>
          <w:b/>
          <w:bCs/>
          <w:sz w:val="20"/>
          <w:szCs w:val="20"/>
        </w:rPr>
        <w:t>F</w:t>
      </w:r>
      <w:r w:rsidR="00147FD9" w:rsidRPr="0076539D">
        <w:rPr>
          <w:rFonts w:ascii="Arial" w:hAnsi="Arial" w:cs="Arial"/>
          <w:b/>
          <w:bCs/>
          <w:sz w:val="20"/>
          <w:szCs w:val="20"/>
        </w:rPr>
        <w:t>ederal statutory</w:t>
      </w:r>
      <w:r w:rsidR="00147FD9" w:rsidRPr="0076539D">
        <w:rPr>
          <w:rFonts w:ascii="Arial" w:hAnsi="Arial" w:cs="Arial"/>
          <w:b/>
          <w:bCs/>
          <w:spacing w:val="-2"/>
          <w:sz w:val="20"/>
          <w:szCs w:val="20"/>
        </w:rPr>
        <w:t xml:space="preserve"> </w:t>
      </w:r>
      <w:r w:rsidR="00147FD9" w:rsidRPr="0076539D">
        <w:rPr>
          <w:rFonts w:ascii="Arial" w:hAnsi="Arial" w:cs="Arial"/>
          <w:b/>
          <w:bCs/>
          <w:sz w:val="20"/>
          <w:szCs w:val="20"/>
        </w:rPr>
        <w:t>requirements:</w:t>
      </w:r>
    </w:p>
    <w:p w14:paraId="44B71AE9" w14:textId="77777777"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19" w:after="0"/>
        <w:ind w:right="99"/>
        <w:rPr>
          <w:rFonts w:ascii="Arial" w:hAnsi="Arial" w:cs="Arial"/>
          <w:sz w:val="20"/>
          <w:szCs w:val="20"/>
        </w:rPr>
      </w:pPr>
      <w:r w:rsidRPr="0076539D">
        <w:rPr>
          <w:rFonts w:ascii="Arial" w:hAnsi="Arial" w:cs="Arial"/>
          <w:sz w:val="20"/>
          <w:szCs w:val="20"/>
        </w:rPr>
        <w:t>Under Internal Revenue Code (IRC) Section 42(g</w:t>
      </w:r>
      <w:proofErr w:type="gramStart"/>
      <w:r w:rsidRPr="0076539D">
        <w:rPr>
          <w:rFonts w:ascii="Arial" w:hAnsi="Arial" w:cs="Arial"/>
          <w:sz w:val="20"/>
          <w:szCs w:val="20"/>
        </w:rPr>
        <w:t>)(</w:t>
      </w:r>
      <w:proofErr w:type="gramEnd"/>
      <w:r w:rsidRPr="0076539D">
        <w:rPr>
          <w:rFonts w:ascii="Arial" w:hAnsi="Arial" w:cs="Arial"/>
          <w:sz w:val="20"/>
          <w:szCs w:val="20"/>
        </w:rPr>
        <w:t>1)(C)(ii)(I) owners designate the income and rent limitation of each unit. The designat</w:t>
      </w:r>
      <w:r w:rsidR="001E4B27" w:rsidRPr="0076539D">
        <w:rPr>
          <w:rFonts w:ascii="Arial" w:hAnsi="Arial" w:cs="Arial"/>
          <w:sz w:val="20"/>
          <w:szCs w:val="20"/>
        </w:rPr>
        <w:t xml:space="preserve">ed income limits </w:t>
      </w:r>
      <w:r w:rsidRPr="0076539D">
        <w:rPr>
          <w:rFonts w:ascii="Arial" w:hAnsi="Arial" w:cs="Arial"/>
          <w:sz w:val="20"/>
          <w:szCs w:val="20"/>
        </w:rPr>
        <w:t>must average 60%</w:t>
      </w:r>
      <w:r w:rsidR="001E4B27" w:rsidRPr="0076539D">
        <w:rPr>
          <w:rFonts w:ascii="Arial" w:hAnsi="Arial" w:cs="Arial"/>
          <w:sz w:val="20"/>
          <w:szCs w:val="20"/>
        </w:rPr>
        <w:t xml:space="preserve"> of AMI</w:t>
      </w:r>
      <w:r w:rsidRPr="0076539D">
        <w:rPr>
          <w:rFonts w:ascii="Arial" w:hAnsi="Arial" w:cs="Arial"/>
          <w:sz w:val="20"/>
          <w:szCs w:val="20"/>
        </w:rPr>
        <w:t>; owners do not need to maintain an average among tenant household</w:t>
      </w:r>
      <w:r w:rsidRPr="0076539D">
        <w:rPr>
          <w:rFonts w:ascii="Arial" w:hAnsi="Arial" w:cs="Arial"/>
          <w:spacing w:val="-25"/>
          <w:sz w:val="20"/>
          <w:szCs w:val="20"/>
        </w:rPr>
        <w:t xml:space="preserve"> </w:t>
      </w:r>
      <w:r w:rsidRPr="0076539D">
        <w:rPr>
          <w:rFonts w:ascii="Arial" w:hAnsi="Arial" w:cs="Arial"/>
          <w:sz w:val="20"/>
          <w:szCs w:val="20"/>
        </w:rPr>
        <w:t>incomes.</w:t>
      </w:r>
    </w:p>
    <w:p w14:paraId="3F903FC6" w14:textId="77777777"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19" w:after="0"/>
        <w:rPr>
          <w:rFonts w:ascii="Arial" w:hAnsi="Arial" w:cs="Arial"/>
          <w:sz w:val="20"/>
          <w:szCs w:val="20"/>
        </w:rPr>
      </w:pPr>
      <w:r w:rsidRPr="0076539D">
        <w:rPr>
          <w:rFonts w:ascii="Arial" w:hAnsi="Arial" w:cs="Arial"/>
          <w:sz w:val="20"/>
          <w:szCs w:val="20"/>
        </w:rPr>
        <w:t>The</w:t>
      </w:r>
      <w:r w:rsidR="00E50980" w:rsidRPr="0076539D">
        <w:rPr>
          <w:rFonts w:ascii="Arial" w:hAnsi="Arial" w:cs="Arial"/>
          <w:sz w:val="20"/>
          <w:szCs w:val="20"/>
        </w:rPr>
        <w:t>re are seven</w:t>
      </w:r>
      <w:r w:rsidRPr="0076539D">
        <w:rPr>
          <w:rFonts w:ascii="Arial" w:hAnsi="Arial" w:cs="Arial"/>
          <w:sz w:val="20"/>
          <w:szCs w:val="20"/>
        </w:rPr>
        <w:t xml:space="preserve"> designated </w:t>
      </w:r>
      <w:r w:rsidR="001E4B27" w:rsidRPr="0076539D">
        <w:rPr>
          <w:rFonts w:ascii="Arial" w:hAnsi="Arial" w:cs="Arial"/>
          <w:sz w:val="20"/>
          <w:szCs w:val="20"/>
        </w:rPr>
        <w:t xml:space="preserve">income </w:t>
      </w:r>
      <w:r w:rsidRPr="0076539D">
        <w:rPr>
          <w:rFonts w:ascii="Arial" w:hAnsi="Arial" w:cs="Arial"/>
          <w:sz w:val="20"/>
          <w:szCs w:val="20"/>
        </w:rPr>
        <w:t>levels</w:t>
      </w:r>
      <w:r w:rsidR="00E50980" w:rsidRPr="0076539D">
        <w:rPr>
          <w:rFonts w:ascii="Arial" w:hAnsi="Arial" w:cs="Arial"/>
          <w:sz w:val="20"/>
          <w:szCs w:val="20"/>
        </w:rPr>
        <w:t>:</w:t>
      </w:r>
      <w:r w:rsidRPr="0076539D">
        <w:rPr>
          <w:rFonts w:ascii="Arial" w:hAnsi="Arial" w:cs="Arial"/>
          <w:sz w:val="20"/>
          <w:szCs w:val="20"/>
        </w:rPr>
        <w:t xml:space="preserve"> 20%, 30%, 40%, 50%, 60%, 70%, and/or 80% of</w:t>
      </w:r>
      <w:r w:rsidRPr="0076539D">
        <w:rPr>
          <w:rFonts w:ascii="Arial" w:hAnsi="Arial" w:cs="Arial"/>
          <w:spacing w:val="-17"/>
          <w:sz w:val="20"/>
          <w:szCs w:val="20"/>
        </w:rPr>
        <w:t xml:space="preserve"> </w:t>
      </w:r>
      <w:r w:rsidRPr="0076539D">
        <w:rPr>
          <w:rFonts w:ascii="Arial" w:hAnsi="Arial" w:cs="Arial"/>
          <w:sz w:val="20"/>
          <w:szCs w:val="20"/>
        </w:rPr>
        <w:t>A</w:t>
      </w:r>
      <w:r w:rsidR="004D21EB" w:rsidRPr="0076539D">
        <w:rPr>
          <w:rFonts w:ascii="Arial" w:hAnsi="Arial" w:cs="Arial"/>
          <w:sz w:val="20"/>
          <w:szCs w:val="20"/>
        </w:rPr>
        <w:t>MI</w:t>
      </w:r>
      <w:r w:rsidRPr="0076539D">
        <w:rPr>
          <w:rFonts w:ascii="Arial" w:hAnsi="Arial" w:cs="Arial"/>
          <w:sz w:val="20"/>
          <w:szCs w:val="20"/>
        </w:rPr>
        <w:t>.</w:t>
      </w:r>
    </w:p>
    <w:p w14:paraId="1BEB74AF" w14:textId="4B094E58"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20" w:after="0"/>
        <w:rPr>
          <w:rFonts w:ascii="Arial" w:hAnsi="Arial" w:cs="Arial"/>
          <w:sz w:val="20"/>
          <w:szCs w:val="20"/>
        </w:rPr>
      </w:pPr>
      <w:r w:rsidRPr="0076539D">
        <w:rPr>
          <w:rFonts w:ascii="Arial" w:hAnsi="Arial" w:cs="Arial"/>
          <w:sz w:val="20"/>
          <w:szCs w:val="20"/>
        </w:rPr>
        <w:t>The election is irrevocable</w:t>
      </w:r>
      <w:r w:rsidR="004C4C44">
        <w:rPr>
          <w:rFonts w:ascii="Arial" w:hAnsi="Arial" w:cs="Arial"/>
          <w:sz w:val="20"/>
          <w:szCs w:val="20"/>
        </w:rPr>
        <w:t xml:space="preserve">, and must be maintained for the duration of the 15 year compliance period and the subsequent </w:t>
      </w:r>
      <w:r w:rsidR="002C5E5F">
        <w:rPr>
          <w:rFonts w:ascii="Arial" w:hAnsi="Arial" w:cs="Arial"/>
          <w:sz w:val="20"/>
          <w:szCs w:val="20"/>
        </w:rPr>
        <w:t>extended use period</w:t>
      </w:r>
      <w:r w:rsidR="009F02A9">
        <w:rPr>
          <w:rFonts w:ascii="Arial" w:hAnsi="Arial" w:cs="Arial"/>
          <w:sz w:val="20"/>
          <w:szCs w:val="20"/>
        </w:rPr>
        <w:t>.</w:t>
      </w:r>
    </w:p>
    <w:p w14:paraId="32E82AAD" w14:textId="77777777"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61" w:after="0"/>
        <w:rPr>
          <w:rFonts w:ascii="Arial" w:hAnsi="Arial" w:cs="Arial"/>
          <w:sz w:val="20"/>
          <w:szCs w:val="20"/>
        </w:rPr>
      </w:pPr>
      <w:r w:rsidRPr="0076539D">
        <w:rPr>
          <w:rFonts w:ascii="Arial" w:hAnsi="Arial" w:cs="Arial"/>
          <w:sz w:val="20"/>
          <w:szCs w:val="20"/>
        </w:rPr>
        <w:t>Under IRC § 42(g)(1)(C)(</w:t>
      </w:r>
      <w:proofErr w:type="spellStart"/>
      <w:r w:rsidRPr="0076539D">
        <w:rPr>
          <w:rFonts w:ascii="Arial" w:hAnsi="Arial" w:cs="Arial"/>
          <w:sz w:val="20"/>
          <w:szCs w:val="20"/>
        </w:rPr>
        <w:t>i</w:t>
      </w:r>
      <w:proofErr w:type="spellEnd"/>
      <w:r w:rsidRPr="0076539D">
        <w:rPr>
          <w:rFonts w:ascii="Arial" w:hAnsi="Arial" w:cs="Arial"/>
          <w:sz w:val="20"/>
          <w:szCs w:val="20"/>
        </w:rPr>
        <w:t>) a property is qualified when 40% or more of the total</w:t>
      </w:r>
      <w:r w:rsidRPr="0076539D">
        <w:rPr>
          <w:rFonts w:ascii="Arial" w:hAnsi="Arial" w:cs="Arial"/>
          <w:spacing w:val="-12"/>
          <w:sz w:val="20"/>
          <w:szCs w:val="20"/>
        </w:rPr>
        <w:t xml:space="preserve"> </w:t>
      </w:r>
      <w:r w:rsidRPr="0076539D">
        <w:rPr>
          <w:rFonts w:ascii="Arial" w:hAnsi="Arial" w:cs="Arial"/>
          <w:sz w:val="20"/>
          <w:szCs w:val="20"/>
        </w:rPr>
        <w:t>units:</w:t>
      </w:r>
    </w:p>
    <w:p w14:paraId="0FBA052B" w14:textId="77777777" w:rsidR="00147FD9" w:rsidRPr="0076539D" w:rsidRDefault="00147FD9" w:rsidP="004D21EB">
      <w:pPr>
        <w:pStyle w:val="ListParagraph"/>
        <w:numPr>
          <w:ilvl w:val="0"/>
          <w:numId w:val="10"/>
        </w:numPr>
        <w:tabs>
          <w:tab w:val="clear" w:pos="2428"/>
        </w:tabs>
        <w:kinsoku w:val="0"/>
        <w:overflowPunct w:val="0"/>
        <w:autoSpaceDE w:val="0"/>
        <w:autoSpaceDN w:val="0"/>
        <w:adjustRightInd w:val="0"/>
        <w:spacing w:before="22" w:line="271" w:lineRule="exact"/>
        <w:rPr>
          <w:rFonts w:ascii="Arial" w:hAnsi="Arial" w:cs="Arial"/>
          <w:sz w:val="20"/>
          <w:szCs w:val="20"/>
        </w:rPr>
      </w:pPr>
      <w:r w:rsidRPr="0076539D">
        <w:rPr>
          <w:rFonts w:ascii="Arial" w:hAnsi="Arial" w:cs="Arial"/>
          <w:sz w:val="20"/>
          <w:szCs w:val="20"/>
        </w:rPr>
        <w:t>are rent restricted to and</w:t>
      </w:r>
    </w:p>
    <w:p w14:paraId="6E64FFAF" w14:textId="77777777" w:rsidR="00147FD9" w:rsidRPr="0076539D" w:rsidRDefault="00147FD9" w:rsidP="004D21EB">
      <w:pPr>
        <w:pStyle w:val="ListParagraph"/>
        <w:numPr>
          <w:ilvl w:val="0"/>
          <w:numId w:val="10"/>
        </w:numPr>
        <w:tabs>
          <w:tab w:val="clear" w:pos="2428"/>
        </w:tabs>
        <w:kinsoku w:val="0"/>
        <w:overflowPunct w:val="0"/>
        <w:autoSpaceDE w:val="0"/>
        <w:autoSpaceDN w:val="0"/>
        <w:adjustRightInd w:val="0"/>
        <w:spacing w:line="265" w:lineRule="exact"/>
        <w:rPr>
          <w:rFonts w:ascii="Arial" w:hAnsi="Arial" w:cs="Arial"/>
          <w:sz w:val="20"/>
          <w:szCs w:val="20"/>
        </w:rPr>
      </w:pPr>
      <w:proofErr w:type="gramStart"/>
      <w:r w:rsidRPr="0076539D">
        <w:rPr>
          <w:rFonts w:ascii="Arial" w:hAnsi="Arial" w:cs="Arial"/>
          <w:sz w:val="20"/>
          <w:szCs w:val="20"/>
        </w:rPr>
        <w:t>occupied</w:t>
      </w:r>
      <w:proofErr w:type="gramEnd"/>
      <w:r w:rsidRPr="0076539D">
        <w:rPr>
          <w:rFonts w:ascii="Arial" w:hAnsi="Arial" w:cs="Arial"/>
          <w:sz w:val="20"/>
          <w:szCs w:val="20"/>
        </w:rPr>
        <w:t xml:space="preserve"> by</w:t>
      </w:r>
      <w:r w:rsidR="004D21EB" w:rsidRPr="0076539D">
        <w:rPr>
          <w:rFonts w:ascii="Arial" w:hAnsi="Arial" w:cs="Arial"/>
          <w:sz w:val="20"/>
          <w:szCs w:val="20"/>
        </w:rPr>
        <w:t xml:space="preserve"> </w:t>
      </w:r>
      <w:r w:rsidRPr="0076539D">
        <w:rPr>
          <w:rFonts w:ascii="Arial" w:hAnsi="Arial" w:cs="Arial"/>
          <w:sz w:val="20"/>
          <w:szCs w:val="20"/>
        </w:rPr>
        <w:t>households at or below the limitation designated with respect to the unit.</w:t>
      </w:r>
    </w:p>
    <w:p w14:paraId="33B1DE34" w14:textId="4A88AE5C"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20" w:after="0"/>
        <w:ind w:right="506"/>
        <w:rPr>
          <w:rFonts w:ascii="Arial" w:hAnsi="Arial" w:cs="Arial"/>
          <w:sz w:val="20"/>
          <w:szCs w:val="20"/>
        </w:rPr>
      </w:pPr>
      <w:r w:rsidRPr="0076539D">
        <w:rPr>
          <w:rFonts w:ascii="Arial" w:hAnsi="Arial" w:cs="Arial"/>
          <w:sz w:val="20"/>
          <w:szCs w:val="20"/>
        </w:rPr>
        <w:t>IRC § 42(g</w:t>
      </w:r>
      <w:proofErr w:type="gramStart"/>
      <w:r w:rsidRPr="0076539D">
        <w:rPr>
          <w:rFonts w:ascii="Arial" w:hAnsi="Arial" w:cs="Arial"/>
          <w:sz w:val="20"/>
          <w:szCs w:val="20"/>
        </w:rPr>
        <w:t>)(</w:t>
      </w:r>
      <w:proofErr w:type="gramEnd"/>
      <w:r w:rsidRPr="0076539D">
        <w:rPr>
          <w:rFonts w:ascii="Arial" w:hAnsi="Arial" w:cs="Arial"/>
          <w:sz w:val="20"/>
          <w:szCs w:val="20"/>
        </w:rPr>
        <w:t>2)(D)(iii) contains a distinct Next Available Unit Rule (NAUR) for income averaging. Owners should consult with compliance experts.</w:t>
      </w:r>
    </w:p>
    <w:p w14:paraId="6EB9AC96" w14:textId="77777777" w:rsidR="006E5B2D" w:rsidRDefault="00147FD9" w:rsidP="006E5B2D">
      <w:pPr>
        <w:numPr>
          <w:ilvl w:val="1"/>
          <w:numId w:val="5"/>
        </w:numPr>
        <w:tabs>
          <w:tab w:val="clear" w:pos="2428"/>
          <w:tab w:val="left" w:pos="829"/>
        </w:tabs>
        <w:kinsoku w:val="0"/>
        <w:overflowPunct w:val="0"/>
        <w:autoSpaceDE w:val="0"/>
        <w:autoSpaceDN w:val="0"/>
        <w:adjustRightInd w:val="0"/>
        <w:spacing w:before="120" w:after="0"/>
        <w:ind w:right="123"/>
        <w:rPr>
          <w:rFonts w:ascii="Arial" w:hAnsi="Arial" w:cs="Arial"/>
          <w:sz w:val="20"/>
          <w:szCs w:val="20"/>
        </w:rPr>
      </w:pPr>
      <w:r w:rsidRPr="0076539D">
        <w:rPr>
          <w:rFonts w:ascii="Arial" w:hAnsi="Arial" w:cs="Arial"/>
          <w:sz w:val="20"/>
          <w:szCs w:val="20"/>
        </w:rPr>
        <w:t>The 30% AMI level under the Housing Credit is not the same as the Extremely Low-Income (ELI) restriction under the National Housing Trust Fund. Owners of properties with both sources should be mindful of the</w:t>
      </w:r>
      <w:r w:rsidRPr="0076539D">
        <w:rPr>
          <w:rFonts w:ascii="Arial" w:hAnsi="Arial" w:cs="Arial"/>
          <w:spacing w:val="-19"/>
          <w:sz w:val="20"/>
          <w:szCs w:val="20"/>
        </w:rPr>
        <w:t xml:space="preserve"> </w:t>
      </w:r>
      <w:r w:rsidRPr="0076539D">
        <w:rPr>
          <w:rFonts w:ascii="Arial" w:hAnsi="Arial" w:cs="Arial"/>
          <w:sz w:val="20"/>
          <w:szCs w:val="20"/>
        </w:rPr>
        <w:t>difference.</w:t>
      </w:r>
    </w:p>
    <w:p w14:paraId="5022A334" w14:textId="22C62300" w:rsidR="006E5B2D" w:rsidRPr="006E5B2D" w:rsidRDefault="006E5B2D" w:rsidP="009428CA">
      <w:pPr>
        <w:tabs>
          <w:tab w:val="clear" w:pos="2428"/>
          <w:tab w:val="left" w:pos="829"/>
        </w:tabs>
        <w:kinsoku w:val="0"/>
        <w:overflowPunct w:val="0"/>
        <w:autoSpaceDE w:val="0"/>
        <w:autoSpaceDN w:val="0"/>
        <w:adjustRightInd w:val="0"/>
        <w:spacing w:before="120" w:after="0"/>
        <w:ind w:left="468" w:right="123"/>
        <w:rPr>
          <w:rFonts w:ascii="Arial" w:hAnsi="Arial" w:cs="Arial"/>
          <w:sz w:val="20"/>
          <w:szCs w:val="20"/>
        </w:rPr>
      </w:pPr>
      <w:r w:rsidRPr="006E5B2D">
        <w:rPr>
          <w:rFonts w:ascii="Arial" w:hAnsi="Arial" w:cs="Arial"/>
          <w:sz w:val="20"/>
          <w:szCs w:val="20"/>
        </w:rPr>
        <w:t xml:space="preserve">Please note: VHFA is providing these highlights of the statutory </w:t>
      </w:r>
      <w:r w:rsidR="00F43068" w:rsidRPr="00F43068">
        <w:rPr>
          <w:rFonts w:ascii="Arial" w:hAnsi="Arial" w:cs="Arial"/>
          <w:sz w:val="20"/>
          <w:szCs w:val="20"/>
        </w:rPr>
        <w:t>requirements</w:t>
      </w:r>
      <w:r w:rsidRPr="006E5B2D">
        <w:rPr>
          <w:rFonts w:ascii="Arial" w:hAnsi="Arial" w:cs="Arial"/>
          <w:sz w:val="20"/>
          <w:szCs w:val="20"/>
        </w:rPr>
        <w:t xml:space="preserve"> as of the date of the issuance of this guidance. We recommend consulting with compliance experts, or your own legal and accounting advisors prior to engaging in income averaging. </w:t>
      </w:r>
    </w:p>
    <w:p w14:paraId="07326BCA" w14:textId="77777777" w:rsidR="00147FD9" w:rsidRPr="0076539D" w:rsidRDefault="00147FD9" w:rsidP="00147FD9">
      <w:pPr>
        <w:tabs>
          <w:tab w:val="clear" w:pos="2428"/>
        </w:tabs>
        <w:kinsoku w:val="0"/>
        <w:overflowPunct w:val="0"/>
        <w:autoSpaceDE w:val="0"/>
        <w:autoSpaceDN w:val="0"/>
        <w:adjustRightInd w:val="0"/>
        <w:spacing w:before="2" w:after="0"/>
        <w:rPr>
          <w:rFonts w:ascii="Arial" w:hAnsi="Arial" w:cs="Arial"/>
          <w:sz w:val="20"/>
          <w:szCs w:val="20"/>
        </w:rPr>
      </w:pPr>
    </w:p>
    <w:p w14:paraId="345DCB1F" w14:textId="77777777" w:rsidR="00147FD9" w:rsidRPr="0076539D" w:rsidRDefault="00147FD9" w:rsidP="00147FD9">
      <w:pPr>
        <w:numPr>
          <w:ilvl w:val="0"/>
          <w:numId w:val="5"/>
        </w:numPr>
        <w:tabs>
          <w:tab w:val="clear" w:pos="2428"/>
          <w:tab w:val="left" w:pos="469"/>
        </w:tabs>
        <w:kinsoku w:val="0"/>
        <w:overflowPunct w:val="0"/>
        <w:autoSpaceDE w:val="0"/>
        <w:autoSpaceDN w:val="0"/>
        <w:adjustRightInd w:val="0"/>
        <w:spacing w:after="0"/>
        <w:ind w:hanging="360"/>
        <w:outlineLvl w:val="0"/>
        <w:rPr>
          <w:rFonts w:ascii="Arial" w:hAnsi="Arial" w:cs="Arial"/>
          <w:b/>
          <w:bCs/>
          <w:sz w:val="20"/>
          <w:szCs w:val="20"/>
        </w:rPr>
      </w:pPr>
      <w:r w:rsidRPr="0076539D">
        <w:rPr>
          <w:rFonts w:ascii="Arial" w:hAnsi="Arial" w:cs="Arial"/>
          <w:b/>
          <w:bCs/>
          <w:sz w:val="20"/>
          <w:szCs w:val="20"/>
        </w:rPr>
        <w:t>VHFA adopted requirements and interpretations:</w:t>
      </w:r>
    </w:p>
    <w:p w14:paraId="0D463A95" w14:textId="2F1544F8"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60" w:after="0" w:line="259" w:lineRule="auto"/>
        <w:ind w:right="141"/>
        <w:rPr>
          <w:rFonts w:ascii="Arial" w:hAnsi="Arial" w:cs="Arial"/>
          <w:sz w:val="20"/>
          <w:szCs w:val="20"/>
        </w:rPr>
      </w:pPr>
      <w:r w:rsidRPr="0076539D">
        <w:rPr>
          <w:rFonts w:ascii="Arial" w:hAnsi="Arial" w:cs="Arial"/>
          <w:sz w:val="20"/>
          <w:szCs w:val="20"/>
        </w:rPr>
        <w:t>Developments awarded</w:t>
      </w:r>
      <w:r w:rsidR="00F0682D" w:rsidRPr="0076539D">
        <w:rPr>
          <w:rFonts w:ascii="Arial" w:hAnsi="Arial" w:cs="Arial"/>
          <w:sz w:val="20"/>
          <w:szCs w:val="20"/>
        </w:rPr>
        <w:t xml:space="preserve"> allocations of </w:t>
      </w:r>
      <w:r w:rsidR="000F0E19" w:rsidRPr="0076539D">
        <w:rPr>
          <w:rFonts w:ascii="Arial" w:hAnsi="Arial" w:cs="Arial"/>
          <w:sz w:val="20"/>
          <w:szCs w:val="20"/>
        </w:rPr>
        <w:t xml:space="preserve">federal 9% </w:t>
      </w:r>
      <w:r w:rsidR="00F0682D" w:rsidRPr="0076539D">
        <w:rPr>
          <w:rFonts w:ascii="Arial" w:hAnsi="Arial" w:cs="Arial"/>
          <w:sz w:val="20"/>
          <w:szCs w:val="20"/>
        </w:rPr>
        <w:t>credit</w:t>
      </w:r>
      <w:r w:rsidRPr="0076539D">
        <w:rPr>
          <w:rFonts w:ascii="Arial" w:hAnsi="Arial" w:cs="Arial"/>
          <w:sz w:val="20"/>
          <w:szCs w:val="20"/>
        </w:rPr>
        <w:t xml:space="preserve"> in </w:t>
      </w:r>
      <w:r w:rsidR="009E1910">
        <w:rPr>
          <w:rFonts w:ascii="Arial" w:hAnsi="Arial" w:cs="Arial"/>
          <w:sz w:val="20"/>
          <w:szCs w:val="20"/>
        </w:rPr>
        <w:t>2020</w:t>
      </w:r>
      <w:r w:rsidR="009E1910" w:rsidRPr="0076539D">
        <w:rPr>
          <w:rFonts w:ascii="Arial" w:hAnsi="Arial" w:cs="Arial"/>
          <w:sz w:val="20"/>
          <w:szCs w:val="20"/>
        </w:rPr>
        <w:t xml:space="preserve"> </w:t>
      </w:r>
      <w:r w:rsidR="001E4B27" w:rsidRPr="0076539D">
        <w:rPr>
          <w:rFonts w:ascii="Arial" w:hAnsi="Arial" w:cs="Arial"/>
          <w:sz w:val="20"/>
          <w:szCs w:val="20"/>
        </w:rPr>
        <w:t>and beyond.</w:t>
      </w:r>
    </w:p>
    <w:p w14:paraId="5A422332" w14:textId="191CDF0A"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58" w:after="0"/>
        <w:ind w:right="448"/>
        <w:rPr>
          <w:rFonts w:ascii="Arial" w:hAnsi="Arial" w:cs="Arial"/>
          <w:sz w:val="20"/>
          <w:szCs w:val="20"/>
        </w:rPr>
      </w:pPr>
      <w:proofErr w:type="spellStart"/>
      <w:r w:rsidRPr="0076539D">
        <w:rPr>
          <w:rFonts w:ascii="Arial" w:hAnsi="Arial" w:cs="Arial"/>
          <w:sz w:val="20"/>
          <w:szCs w:val="20"/>
        </w:rPr>
        <w:t>Resyndication</w:t>
      </w:r>
      <w:proofErr w:type="spellEnd"/>
      <w:r w:rsidRPr="0076539D">
        <w:rPr>
          <w:rFonts w:ascii="Arial" w:hAnsi="Arial" w:cs="Arial"/>
          <w:spacing w:val="-3"/>
          <w:sz w:val="20"/>
          <w:szCs w:val="20"/>
        </w:rPr>
        <w:t xml:space="preserve"> </w:t>
      </w:r>
      <w:r w:rsidRPr="0076539D">
        <w:rPr>
          <w:rFonts w:ascii="Arial" w:hAnsi="Arial" w:cs="Arial"/>
          <w:sz w:val="20"/>
          <w:szCs w:val="20"/>
        </w:rPr>
        <w:t>of properties with</w:t>
      </w:r>
      <w:r w:rsidRPr="0076539D">
        <w:rPr>
          <w:rFonts w:ascii="Arial" w:hAnsi="Arial" w:cs="Arial"/>
          <w:spacing w:val="-1"/>
          <w:sz w:val="20"/>
          <w:szCs w:val="20"/>
        </w:rPr>
        <w:t xml:space="preserve"> </w:t>
      </w:r>
      <w:r w:rsidRPr="0076539D">
        <w:rPr>
          <w:rFonts w:ascii="Arial" w:hAnsi="Arial" w:cs="Arial"/>
          <w:sz w:val="20"/>
          <w:szCs w:val="20"/>
        </w:rPr>
        <w:t>a</w:t>
      </w:r>
      <w:r w:rsidRPr="0076539D">
        <w:rPr>
          <w:rFonts w:ascii="Arial" w:hAnsi="Arial" w:cs="Arial"/>
          <w:spacing w:val="-2"/>
          <w:sz w:val="20"/>
          <w:szCs w:val="20"/>
        </w:rPr>
        <w:t xml:space="preserve"> </w:t>
      </w:r>
      <w:r w:rsidRPr="0076539D">
        <w:rPr>
          <w:rFonts w:ascii="Arial" w:hAnsi="Arial" w:cs="Arial"/>
          <w:sz w:val="20"/>
          <w:szCs w:val="20"/>
        </w:rPr>
        <w:t>recorded Housing</w:t>
      </w:r>
      <w:r w:rsidRPr="0076539D">
        <w:rPr>
          <w:rFonts w:ascii="Arial" w:hAnsi="Arial" w:cs="Arial"/>
          <w:spacing w:val="-3"/>
          <w:sz w:val="20"/>
          <w:szCs w:val="20"/>
        </w:rPr>
        <w:t xml:space="preserve"> </w:t>
      </w:r>
      <w:r w:rsidRPr="0076539D">
        <w:rPr>
          <w:rFonts w:ascii="Arial" w:hAnsi="Arial" w:cs="Arial"/>
          <w:sz w:val="20"/>
          <w:szCs w:val="20"/>
        </w:rPr>
        <w:t>Credit Housing Subsidy</w:t>
      </w:r>
      <w:r w:rsidRPr="0076539D">
        <w:rPr>
          <w:rFonts w:ascii="Arial" w:hAnsi="Arial" w:cs="Arial"/>
          <w:spacing w:val="-3"/>
          <w:sz w:val="20"/>
          <w:szCs w:val="20"/>
        </w:rPr>
        <w:t xml:space="preserve"> </w:t>
      </w:r>
      <w:r w:rsidRPr="0076539D">
        <w:rPr>
          <w:rFonts w:ascii="Arial" w:hAnsi="Arial" w:cs="Arial"/>
          <w:sz w:val="20"/>
          <w:szCs w:val="20"/>
        </w:rPr>
        <w:t>Covenant</w:t>
      </w:r>
      <w:r w:rsidRPr="0076539D">
        <w:rPr>
          <w:rFonts w:ascii="Arial" w:hAnsi="Arial" w:cs="Arial"/>
          <w:spacing w:val="5"/>
          <w:sz w:val="20"/>
          <w:szCs w:val="20"/>
        </w:rPr>
        <w:t xml:space="preserve"> </w:t>
      </w:r>
      <w:r w:rsidR="001E4B27" w:rsidRPr="0076539D">
        <w:rPr>
          <w:rFonts w:ascii="Arial" w:hAnsi="Arial" w:cs="Arial"/>
          <w:spacing w:val="5"/>
          <w:sz w:val="20"/>
          <w:szCs w:val="20"/>
        </w:rPr>
        <w:t>are</w:t>
      </w:r>
      <w:r w:rsidRPr="0076539D">
        <w:rPr>
          <w:rFonts w:ascii="Arial" w:hAnsi="Arial" w:cs="Arial"/>
          <w:sz w:val="20"/>
          <w:szCs w:val="20"/>
        </w:rPr>
        <w:t xml:space="preserve"> </w:t>
      </w:r>
      <w:r w:rsidR="00A64E2C" w:rsidRPr="0076539D">
        <w:rPr>
          <w:rFonts w:ascii="Arial" w:hAnsi="Arial" w:cs="Arial"/>
          <w:sz w:val="20"/>
          <w:szCs w:val="20"/>
        </w:rPr>
        <w:t xml:space="preserve">not </w:t>
      </w:r>
      <w:r w:rsidRPr="0076539D">
        <w:rPr>
          <w:rFonts w:ascii="Arial" w:hAnsi="Arial" w:cs="Arial"/>
          <w:sz w:val="20"/>
          <w:szCs w:val="20"/>
        </w:rPr>
        <w:t>eligible.</w:t>
      </w:r>
    </w:p>
    <w:p w14:paraId="364D106D" w14:textId="6339837E"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19" w:after="0"/>
        <w:ind w:right="402"/>
        <w:rPr>
          <w:rFonts w:ascii="Arial" w:hAnsi="Arial" w:cs="Arial"/>
          <w:sz w:val="20"/>
          <w:szCs w:val="20"/>
        </w:rPr>
      </w:pPr>
      <w:r w:rsidRPr="0076539D">
        <w:rPr>
          <w:rFonts w:ascii="Arial" w:hAnsi="Arial" w:cs="Arial"/>
          <w:sz w:val="20"/>
          <w:szCs w:val="20"/>
        </w:rPr>
        <w:lastRenderedPageBreak/>
        <w:t xml:space="preserve">Applicants will designate </w:t>
      </w:r>
      <w:r w:rsidR="004C4C44">
        <w:rPr>
          <w:rFonts w:ascii="Arial" w:hAnsi="Arial" w:cs="Arial"/>
          <w:sz w:val="20"/>
          <w:szCs w:val="20"/>
        </w:rPr>
        <w:t xml:space="preserve">the number of </w:t>
      </w:r>
      <w:r w:rsidRPr="0076539D">
        <w:rPr>
          <w:rFonts w:ascii="Arial" w:hAnsi="Arial" w:cs="Arial"/>
          <w:sz w:val="20"/>
          <w:szCs w:val="20"/>
        </w:rPr>
        <w:t xml:space="preserve">units at a specific AMI by unit type (e.g., </w:t>
      </w:r>
      <w:r w:rsidR="00FA78BA" w:rsidRPr="0076539D">
        <w:rPr>
          <w:rFonts w:ascii="Arial" w:hAnsi="Arial" w:cs="Arial"/>
          <w:sz w:val="20"/>
          <w:szCs w:val="20"/>
        </w:rPr>
        <w:t>including size of unit and AMI designation</w:t>
      </w:r>
      <w:r w:rsidRPr="0076539D">
        <w:rPr>
          <w:rFonts w:ascii="Arial" w:hAnsi="Arial" w:cs="Arial"/>
          <w:sz w:val="20"/>
          <w:szCs w:val="20"/>
        </w:rPr>
        <w:t>) at the time of application</w:t>
      </w:r>
      <w:r w:rsidR="004D21EB" w:rsidRPr="0076539D">
        <w:rPr>
          <w:rFonts w:ascii="Arial" w:hAnsi="Arial" w:cs="Arial"/>
          <w:sz w:val="20"/>
          <w:szCs w:val="20"/>
        </w:rPr>
        <w:t xml:space="preserve"> and </w:t>
      </w:r>
      <w:r w:rsidR="00221B4C">
        <w:rPr>
          <w:rFonts w:ascii="Arial" w:hAnsi="Arial" w:cs="Arial"/>
          <w:sz w:val="20"/>
          <w:szCs w:val="20"/>
        </w:rPr>
        <w:t xml:space="preserve">confirm </w:t>
      </w:r>
      <w:r w:rsidR="00DE779E">
        <w:rPr>
          <w:rFonts w:ascii="Arial" w:hAnsi="Arial" w:cs="Arial"/>
          <w:sz w:val="20"/>
          <w:szCs w:val="20"/>
        </w:rPr>
        <w:t>prior to finalizing the Housing Credit Housing Subsidy Covenant</w:t>
      </w:r>
      <w:r w:rsidRPr="0076539D">
        <w:rPr>
          <w:rFonts w:ascii="Arial" w:hAnsi="Arial" w:cs="Arial"/>
          <w:sz w:val="20"/>
          <w:szCs w:val="20"/>
        </w:rPr>
        <w:t>.</w:t>
      </w:r>
      <w:r w:rsidR="004C4C44">
        <w:rPr>
          <w:rFonts w:ascii="Arial" w:hAnsi="Arial" w:cs="Arial"/>
          <w:sz w:val="20"/>
          <w:szCs w:val="20"/>
        </w:rPr>
        <w:t xml:space="preserve"> Projects may float the units within the same project</w:t>
      </w:r>
      <w:r w:rsidR="009E1910">
        <w:rPr>
          <w:rFonts w:ascii="Arial" w:hAnsi="Arial" w:cs="Arial"/>
          <w:sz w:val="20"/>
          <w:szCs w:val="20"/>
        </w:rPr>
        <w:t xml:space="preserve"> (as long as there is unit parity)</w:t>
      </w:r>
      <w:r w:rsidR="004C4C44">
        <w:rPr>
          <w:rFonts w:ascii="Arial" w:hAnsi="Arial" w:cs="Arial"/>
          <w:sz w:val="20"/>
          <w:szCs w:val="20"/>
        </w:rPr>
        <w:t xml:space="preserve">, but the number of units within each </w:t>
      </w:r>
      <w:r w:rsidR="002B7DE7">
        <w:rPr>
          <w:rFonts w:ascii="Arial" w:hAnsi="Arial" w:cs="Arial"/>
          <w:sz w:val="20"/>
          <w:szCs w:val="20"/>
        </w:rPr>
        <w:t xml:space="preserve">AMI </w:t>
      </w:r>
      <w:r w:rsidR="004C4C44">
        <w:rPr>
          <w:rFonts w:ascii="Arial" w:hAnsi="Arial" w:cs="Arial"/>
          <w:sz w:val="20"/>
          <w:szCs w:val="20"/>
        </w:rPr>
        <w:t>designation must remain the same.</w:t>
      </w:r>
    </w:p>
    <w:p w14:paraId="457C0894" w14:textId="77777777" w:rsidR="00147FD9" w:rsidRPr="0076539D" w:rsidRDefault="00147FD9" w:rsidP="00147FD9">
      <w:pPr>
        <w:numPr>
          <w:ilvl w:val="1"/>
          <w:numId w:val="5"/>
        </w:numPr>
        <w:tabs>
          <w:tab w:val="clear" w:pos="2428"/>
          <w:tab w:val="left" w:pos="829"/>
        </w:tabs>
        <w:kinsoku w:val="0"/>
        <w:overflowPunct w:val="0"/>
        <w:autoSpaceDE w:val="0"/>
        <w:autoSpaceDN w:val="0"/>
        <w:adjustRightInd w:val="0"/>
        <w:spacing w:before="158" w:after="0" w:line="259" w:lineRule="auto"/>
        <w:ind w:right="285"/>
        <w:rPr>
          <w:rFonts w:ascii="Arial" w:hAnsi="Arial" w:cs="Arial"/>
          <w:sz w:val="20"/>
          <w:szCs w:val="20"/>
        </w:rPr>
      </w:pPr>
      <w:r w:rsidRPr="0076539D">
        <w:rPr>
          <w:rFonts w:ascii="Arial" w:hAnsi="Arial" w:cs="Arial"/>
          <w:sz w:val="20"/>
          <w:szCs w:val="20"/>
        </w:rPr>
        <w:t xml:space="preserve">Income limits must be equally </w:t>
      </w:r>
      <w:r w:rsidR="007C1A29" w:rsidRPr="0076539D">
        <w:rPr>
          <w:rFonts w:ascii="Arial" w:hAnsi="Arial" w:cs="Arial"/>
          <w:sz w:val="20"/>
          <w:szCs w:val="20"/>
        </w:rPr>
        <w:t>distributed among bedroom sizes</w:t>
      </w:r>
      <w:r w:rsidRPr="0076539D">
        <w:rPr>
          <w:rFonts w:ascii="Arial" w:hAnsi="Arial" w:cs="Arial"/>
          <w:sz w:val="20"/>
          <w:szCs w:val="20"/>
        </w:rPr>
        <w:t>. VHFA will consider exceptions to this requirement when necessary</w:t>
      </w:r>
      <w:r w:rsidRPr="0076539D">
        <w:rPr>
          <w:rFonts w:ascii="Arial" w:hAnsi="Arial" w:cs="Arial"/>
          <w:spacing w:val="-26"/>
          <w:sz w:val="20"/>
          <w:szCs w:val="20"/>
        </w:rPr>
        <w:t xml:space="preserve"> </w:t>
      </w:r>
      <w:r w:rsidRPr="0076539D">
        <w:rPr>
          <w:rFonts w:ascii="Arial" w:hAnsi="Arial" w:cs="Arial"/>
          <w:sz w:val="20"/>
          <w:szCs w:val="20"/>
        </w:rPr>
        <w:t>to:</w:t>
      </w:r>
    </w:p>
    <w:p w14:paraId="4261ED95" w14:textId="77777777" w:rsidR="00147FD9" w:rsidRPr="0076539D" w:rsidRDefault="00147FD9" w:rsidP="00F0682D">
      <w:pPr>
        <w:pStyle w:val="ListParagraph"/>
        <w:numPr>
          <w:ilvl w:val="0"/>
          <w:numId w:val="9"/>
        </w:numPr>
        <w:tabs>
          <w:tab w:val="clear" w:pos="2428"/>
        </w:tabs>
        <w:kinsoku w:val="0"/>
        <w:overflowPunct w:val="0"/>
        <w:autoSpaceDE w:val="0"/>
        <w:autoSpaceDN w:val="0"/>
        <w:adjustRightInd w:val="0"/>
        <w:spacing w:line="272" w:lineRule="exact"/>
        <w:rPr>
          <w:rFonts w:ascii="Arial" w:hAnsi="Arial" w:cs="Arial"/>
          <w:sz w:val="20"/>
          <w:szCs w:val="20"/>
        </w:rPr>
      </w:pPr>
      <w:r w:rsidRPr="0076539D">
        <w:rPr>
          <w:rFonts w:ascii="Arial" w:hAnsi="Arial" w:cs="Arial"/>
          <w:sz w:val="20"/>
          <w:szCs w:val="20"/>
        </w:rPr>
        <w:t>reduce relocation impact in occupied rehab properties,</w:t>
      </w:r>
    </w:p>
    <w:p w14:paraId="41E44279" w14:textId="77777777" w:rsidR="00147FD9" w:rsidRPr="0076539D" w:rsidRDefault="00147FD9" w:rsidP="00F0682D">
      <w:pPr>
        <w:pStyle w:val="ListParagraph"/>
        <w:numPr>
          <w:ilvl w:val="0"/>
          <w:numId w:val="9"/>
        </w:numPr>
        <w:tabs>
          <w:tab w:val="clear" w:pos="2428"/>
        </w:tabs>
        <w:kinsoku w:val="0"/>
        <w:overflowPunct w:val="0"/>
        <w:autoSpaceDE w:val="0"/>
        <w:autoSpaceDN w:val="0"/>
        <w:adjustRightInd w:val="0"/>
        <w:spacing w:line="269" w:lineRule="exact"/>
        <w:rPr>
          <w:rFonts w:ascii="Arial" w:hAnsi="Arial" w:cs="Arial"/>
          <w:sz w:val="20"/>
          <w:szCs w:val="20"/>
        </w:rPr>
      </w:pPr>
      <w:r w:rsidRPr="0076539D">
        <w:rPr>
          <w:rFonts w:ascii="Arial" w:hAnsi="Arial" w:cs="Arial"/>
          <w:sz w:val="20"/>
          <w:szCs w:val="20"/>
        </w:rPr>
        <w:t>comply with the requirements of federal project-based assistance, and</w:t>
      </w:r>
    </w:p>
    <w:p w14:paraId="6CD6F186" w14:textId="77777777" w:rsidR="008C7125" w:rsidRDefault="00147FD9" w:rsidP="008C7125">
      <w:pPr>
        <w:pStyle w:val="ListParagraph"/>
        <w:numPr>
          <w:ilvl w:val="0"/>
          <w:numId w:val="9"/>
        </w:numPr>
        <w:tabs>
          <w:tab w:val="clear" w:pos="2428"/>
        </w:tabs>
        <w:kinsoku w:val="0"/>
        <w:overflowPunct w:val="0"/>
        <w:autoSpaceDE w:val="0"/>
        <w:autoSpaceDN w:val="0"/>
        <w:adjustRightInd w:val="0"/>
        <w:spacing w:line="272" w:lineRule="exact"/>
        <w:rPr>
          <w:rFonts w:ascii="Arial" w:hAnsi="Arial" w:cs="Arial"/>
          <w:sz w:val="20"/>
          <w:szCs w:val="20"/>
        </w:rPr>
      </w:pPr>
      <w:proofErr w:type="gramStart"/>
      <w:r w:rsidRPr="0076539D">
        <w:rPr>
          <w:rFonts w:ascii="Arial" w:hAnsi="Arial" w:cs="Arial"/>
          <w:sz w:val="20"/>
          <w:szCs w:val="20"/>
        </w:rPr>
        <w:t>facilitate</w:t>
      </w:r>
      <w:proofErr w:type="gramEnd"/>
      <w:r w:rsidRPr="0076539D">
        <w:rPr>
          <w:rFonts w:ascii="Arial" w:hAnsi="Arial" w:cs="Arial"/>
          <w:sz w:val="20"/>
          <w:szCs w:val="20"/>
        </w:rPr>
        <w:t xml:space="preserve"> </w:t>
      </w:r>
      <w:r w:rsidR="007C1A29" w:rsidRPr="0076539D">
        <w:rPr>
          <w:rFonts w:ascii="Arial" w:hAnsi="Arial" w:cs="Arial"/>
          <w:sz w:val="20"/>
          <w:szCs w:val="20"/>
        </w:rPr>
        <w:t>s</w:t>
      </w:r>
      <w:r w:rsidRPr="0076539D">
        <w:rPr>
          <w:rFonts w:ascii="Arial" w:hAnsi="Arial" w:cs="Arial"/>
          <w:sz w:val="20"/>
          <w:szCs w:val="20"/>
        </w:rPr>
        <w:t>upportive housing.</w:t>
      </w:r>
    </w:p>
    <w:p w14:paraId="0CFC8C28" w14:textId="77777777" w:rsidR="008C7125" w:rsidRDefault="008C7125" w:rsidP="008C7125">
      <w:pPr>
        <w:pStyle w:val="ListParagraph"/>
        <w:tabs>
          <w:tab w:val="clear" w:pos="2428"/>
        </w:tabs>
        <w:kinsoku w:val="0"/>
        <w:overflowPunct w:val="0"/>
        <w:autoSpaceDE w:val="0"/>
        <w:autoSpaceDN w:val="0"/>
        <w:adjustRightInd w:val="0"/>
        <w:spacing w:line="272" w:lineRule="exact"/>
        <w:ind w:left="1800"/>
        <w:rPr>
          <w:rFonts w:ascii="Arial" w:hAnsi="Arial" w:cs="Arial"/>
          <w:sz w:val="20"/>
          <w:szCs w:val="20"/>
        </w:rPr>
      </w:pPr>
    </w:p>
    <w:p w14:paraId="4F99925A" w14:textId="77777777" w:rsidR="008C7125" w:rsidRPr="008C7125" w:rsidRDefault="008C7125" w:rsidP="008B2A24">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Pr>
          <w:rFonts w:ascii="Arial" w:hAnsi="Arial" w:cs="Arial"/>
          <w:sz w:val="20"/>
          <w:szCs w:val="20"/>
        </w:rPr>
        <w:t>The irrevocable election is made at the time of application to VHFA for Housing Credits.</w:t>
      </w:r>
    </w:p>
    <w:p w14:paraId="51906CE6" w14:textId="782E8AEA" w:rsidR="00147FD9" w:rsidRDefault="00147FD9" w:rsidP="008B2A24">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sidRPr="0076539D">
        <w:rPr>
          <w:rFonts w:ascii="Arial" w:hAnsi="Arial" w:cs="Arial"/>
          <w:sz w:val="20"/>
          <w:szCs w:val="20"/>
        </w:rPr>
        <w:t>VHFA approva</w:t>
      </w:r>
      <w:r w:rsidR="00B63A23">
        <w:rPr>
          <w:rFonts w:ascii="Arial" w:hAnsi="Arial" w:cs="Arial"/>
          <w:sz w:val="20"/>
          <w:szCs w:val="20"/>
        </w:rPr>
        <w:t>l is required</w:t>
      </w:r>
      <w:r w:rsidRPr="0076539D">
        <w:rPr>
          <w:rFonts w:ascii="Arial" w:hAnsi="Arial" w:cs="Arial"/>
          <w:sz w:val="20"/>
          <w:szCs w:val="20"/>
        </w:rPr>
        <w:t xml:space="preserve"> </w:t>
      </w:r>
      <w:r w:rsidR="00B63A23">
        <w:rPr>
          <w:rFonts w:ascii="Arial" w:hAnsi="Arial" w:cs="Arial"/>
          <w:sz w:val="20"/>
          <w:szCs w:val="20"/>
        </w:rPr>
        <w:t xml:space="preserve">prior </w:t>
      </w:r>
      <w:r w:rsidRPr="0076539D">
        <w:rPr>
          <w:rFonts w:ascii="Arial" w:hAnsi="Arial" w:cs="Arial"/>
          <w:sz w:val="20"/>
          <w:szCs w:val="20"/>
        </w:rPr>
        <w:t xml:space="preserve">to </w:t>
      </w:r>
      <w:r w:rsidR="00B63A23">
        <w:rPr>
          <w:rFonts w:ascii="Arial" w:hAnsi="Arial" w:cs="Arial"/>
          <w:sz w:val="20"/>
          <w:szCs w:val="20"/>
        </w:rPr>
        <w:t>changing</w:t>
      </w:r>
      <w:r w:rsidRPr="0076539D">
        <w:rPr>
          <w:rFonts w:ascii="Arial" w:hAnsi="Arial" w:cs="Arial"/>
          <w:sz w:val="20"/>
          <w:szCs w:val="20"/>
        </w:rPr>
        <w:t xml:space="preserve"> </w:t>
      </w:r>
      <w:r w:rsidR="00B63A23">
        <w:rPr>
          <w:rFonts w:ascii="Arial" w:hAnsi="Arial" w:cs="Arial"/>
          <w:sz w:val="20"/>
          <w:szCs w:val="20"/>
        </w:rPr>
        <w:t>unit income designations in a property that has elected Income Averaging</w:t>
      </w:r>
      <w:r w:rsidRPr="0076539D">
        <w:rPr>
          <w:rFonts w:ascii="Arial" w:hAnsi="Arial" w:cs="Arial"/>
          <w:sz w:val="20"/>
          <w:szCs w:val="20"/>
        </w:rPr>
        <w:t>.</w:t>
      </w:r>
    </w:p>
    <w:p w14:paraId="65D1EEF7" w14:textId="79A83BEB" w:rsidR="00EE705A" w:rsidRPr="00392877" w:rsidRDefault="00147FD9" w:rsidP="008B2A24">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sidRPr="00392877">
        <w:rPr>
          <w:rFonts w:ascii="Arial" w:hAnsi="Arial" w:cs="Arial"/>
          <w:sz w:val="20"/>
          <w:szCs w:val="20"/>
        </w:rPr>
        <w:t>The recorded Housing Credit Subsidy Covenant will contain a general provision regarding the election</w:t>
      </w:r>
      <w:r w:rsidR="00DE779E">
        <w:rPr>
          <w:rFonts w:ascii="Arial" w:hAnsi="Arial" w:cs="Arial"/>
          <w:sz w:val="20"/>
          <w:szCs w:val="20"/>
        </w:rPr>
        <w:t xml:space="preserve"> and include a schedule with the unit</w:t>
      </w:r>
      <w:r w:rsidR="00392877">
        <w:rPr>
          <w:rFonts w:ascii="Arial" w:hAnsi="Arial" w:cs="Arial"/>
          <w:sz w:val="20"/>
          <w:szCs w:val="20"/>
        </w:rPr>
        <w:t xml:space="preserve"> </w:t>
      </w:r>
      <w:r w:rsidR="00DE779E">
        <w:rPr>
          <w:rFonts w:ascii="Arial" w:hAnsi="Arial" w:cs="Arial"/>
          <w:sz w:val="20"/>
          <w:szCs w:val="20"/>
        </w:rPr>
        <w:t>AMI</w:t>
      </w:r>
      <w:r w:rsidRPr="00392877">
        <w:rPr>
          <w:rFonts w:ascii="Arial" w:hAnsi="Arial" w:cs="Arial"/>
          <w:sz w:val="20"/>
          <w:szCs w:val="20"/>
        </w:rPr>
        <w:t xml:space="preserve"> designation</w:t>
      </w:r>
      <w:r w:rsidR="00392877">
        <w:rPr>
          <w:rFonts w:ascii="Arial" w:hAnsi="Arial" w:cs="Arial"/>
          <w:sz w:val="20"/>
          <w:szCs w:val="20"/>
        </w:rPr>
        <w:t>s</w:t>
      </w:r>
      <w:r w:rsidRPr="00392877">
        <w:rPr>
          <w:rFonts w:ascii="Arial" w:hAnsi="Arial" w:cs="Arial"/>
          <w:sz w:val="20"/>
          <w:szCs w:val="20"/>
        </w:rPr>
        <w:t>.</w:t>
      </w:r>
    </w:p>
    <w:p w14:paraId="41C96DCB" w14:textId="77777777" w:rsidR="00147FD9" w:rsidRDefault="00147FD9" w:rsidP="008B2A24">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sidRPr="0076539D">
        <w:rPr>
          <w:rFonts w:ascii="Arial" w:hAnsi="Arial" w:cs="Arial"/>
          <w:sz w:val="20"/>
          <w:szCs w:val="20"/>
        </w:rPr>
        <w:t>Owners of developments with more than one building will indicate on the Form(s) 8609 to treat all of</w:t>
      </w:r>
      <w:r w:rsidR="006527DC" w:rsidRPr="0076539D">
        <w:rPr>
          <w:rFonts w:ascii="Arial" w:hAnsi="Arial" w:cs="Arial"/>
          <w:sz w:val="20"/>
          <w:szCs w:val="20"/>
        </w:rPr>
        <w:t xml:space="preserve"> </w:t>
      </w:r>
      <w:r w:rsidRPr="0076539D">
        <w:rPr>
          <w:rFonts w:ascii="Arial" w:hAnsi="Arial" w:cs="Arial"/>
          <w:sz w:val="20"/>
          <w:szCs w:val="20"/>
        </w:rPr>
        <w:t>them as part of a multiple building project (checking “Yes” on line 8b).</w:t>
      </w:r>
    </w:p>
    <w:p w14:paraId="6785EC72" w14:textId="77777777" w:rsidR="004D21EB" w:rsidRPr="0076539D" w:rsidRDefault="006527DC" w:rsidP="00221B4C">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sidRPr="0076539D">
        <w:rPr>
          <w:rFonts w:ascii="Arial" w:hAnsi="Arial" w:cs="Arial"/>
          <w:sz w:val="20"/>
          <w:szCs w:val="20"/>
        </w:rPr>
        <w:t>VHFA</w:t>
      </w:r>
      <w:r w:rsidR="00221B4C">
        <w:rPr>
          <w:rFonts w:ascii="Arial" w:hAnsi="Arial" w:cs="Arial"/>
          <w:sz w:val="20"/>
          <w:szCs w:val="20"/>
        </w:rPr>
        <w:t xml:space="preserve"> will monitor property for </w:t>
      </w:r>
      <w:r w:rsidR="00147FD9" w:rsidRPr="0076539D">
        <w:rPr>
          <w:rFonts w:ascii="Arial" w:hAnsi="Arial" w:cs="Arial"/>
          <w:sz w:val="20"/>
          <w:szCs w:val="20"/>
        </w:rPr>
        <w:t xml:space="preserve">compliance </w:t>
      </w:r>
      <w:r w:rsidRPr="0076539D">
        <w:rPr>
          <w:rFonts w:ascii="Arial" w:hAnsi="Arial" w:cs="Arial"/>
          <w:sz w:val="20"/>
          <w:szCs w:val="20"/>
        </w:rPr>
        <w:t xml:space="preserve">at least every three years with desk audits </w:t>
      </w:r>
      <w:r w:rsidR="00147FD9" w:rsidRPr="0076539D">
        <w:rPr>
          <w:rFonts w:ascii="Arial" w:hAnsi="Arial" w:cs="Arial"/>
          <w:sz w:val="20"/>
          <w:szCs w:val="20"/>
        </w:rPr>
        <w:t>annually</w:t>
      </w:r>
      <w:r w:rsidRPr="0076539D">
        <w:rPr>
          <w:rFonts w:ascii="Arial" w:hAnsi="Arial" w:cs="Arial"/>
          <w:sz w:val="20"/>
          <w:szCs w:val="20"/>
        </w:rPr>
        <w:t xml:space="preserve">. </w:t>
      </w:r>
    </w:p>
    <w:p w14:paraId="4EE2BE56" w14:textId="77777777" w:rsidR="0095295C" w:rsidRDefault="00147FD9" w:rsidP="00221B4C">
      <w:pPr>
        <w:numPr>
          <w:ilvl w:val="1"/>
          <w:numId w:val="5"/>
        </w:numPr>
        <w:tabs>
          <w:tab w:val="clear" w:pos="2428"/>
          <w:tab w:val="left" w:pos="829"/>
        </w:tabs>
        <w:kinsoku w:val="0"/>
        <w:overflowPunct w:val="0"/>
        <w:autoSpaceDE w:val="0"/>
        <w:autoSpaceDN w:val="0"/>
        <w:adjustRightInd w:val="0"/>
        <w:spacing w:line="259" w:lineRule="auto"/>
        <w:ind w:right="285"/>
        <w:rPr>
          <w:rFonts w:ascii="Arial" w:hAnsi="Arial" w:cs="Arial"/>
          <w:sz w:val="20"/>
          <w:szCs w:val="20"/>
        </w:rPr>
      </w:pPr>
      <w:r w:rsidRPr="0095295C">
        <w:rPr>
          <w:rFonts w:ascii="Arial" w:hAnsi="Arial" w:cs="Arial"/>
          <w:sz w:val="20"/>
          <w:szCs w:val="20"/>
        </w:rPr>
        <w:t>Absent I</w:t>
      </w:r>
      <w:r w:rsidR="004D21EB" w:rsidRPr="0095295C">
        <w:rPr>
          <w:rFonts w:ascii="Arial" w:hAnsi="Arial" w:cs="Arial"/>
          <w:sz w:val="20"/>
          <w:szCs w:val="20"/>
        </w:rPr>
        <w:t xml:space="preserve">nternal </w:t>
      </w:r>
      <w:r w:rsidRPr="0095295C">
        <w:rPr>
          <w:rFonts w:ascii="Arial" w:hAnsi="Arial" w:cs="Arial"/>
          <w:sz w:val="20"/>
          <w:szCs w:val="20"/>
        </w:rPr>
        <w:t>R</w:t>
      </w:r>
      <w:r w:rsidR="004D21EB" w:rsidRPr="0095295C">
        <w:rPr>
          <w:rFonts w:ascii="Arial" w:hAnsi="Arial" w:cs="Arial"/>
          <w:sz w:val="20"/>
          <w:szCs w:val="20"/>
        </w:rPr>
        <w:t xml:space="preserve">evenue </w:t>
      </w:r>
      <w:r w:rsidRPr="0095295C">
        <w:rPr>
          <w:rFonts w:ascii="Arial" w:hAnsi="Arial" w:cs="Arial"/>
          <w:sz w:val="20"/>
          <w:szCs w:val="20"/>
        </w:rPr>
        <w:t>S</w:t>
      </w:r>
      <w:r w:rsidR="004D21EB" w:rsidRPr="0095295C">
        <w:rPr>
          <w:rFonts w:ascii="Arial" w:hAnsi="Arial" w:cs="Arial"/>
          <w:sz w:val="20"/>
          <w:szCs w:val="20"/>
        </w:rPr>
        <w:t>ervice</w:t>
      </w:r>
      <w:r w:rsidRPr="0095295C">
        <w:rPr>
          <w:rFonts w:ascii="Arial" w:hAnsi="Arial" w:cs="Arial"/>
          <w:sz w:val="20"/>
          <w:szCs w:val="20"/>
        </w:rPr>
        <w:t xml:space="preserve"> guidance to the contrary, </w:t>
      </w:r>
      <w:r w:rsidR="006527DC" w:rsidRPr="0095295C">
        <w:rPr>
          <w:rFonts w:ascii="Arial" w:hAnsi="Arial" w:cs="Arial"/>
          <w:sz w:val="20"/>
          <w:szCs w:val="20"/>
        </w:rPr>
        <w:t>VHFA</w:t>
      </w:r>
      <w:r w:rsidRPr="0095295C">
        <w:rPr>
          <w:rFonts w:ascii="Arial" w:hAnsi="Arial" w:cs="Arial"/>
          <w:sz w:val="20"/>
          <w:szCs w:val="20"/>
        </w:rPr>
        <w:t xml:space="preserve"> will not report a property as failing the income averaging minimum set-aside so long as 40% of the total units comply with </w:t>
      </w:r>
      <w:r w:rsidR="004D21EB" w:rsidRPr="0095295C">
        <w:rPr>
          <w:rFonts w:ascii="Arial" w:hAnsi="Arial" w:cs="Arial"/>
          <w:sz w:val="20"/>
          <w:szCs w:val="20"/>
        </w:rPr>
        <w:t>the stated</w:t>
      </w:r>
      <w:r w:rsidRPr="0095295C">
        <w:rPr>
          <w:rFonts w:ascii="Arial" w:hAnsi="Arial" w:cs="Arial"/>
          <w:sz w:val="20"/>
          <w:szCs w:val="20"/>
        </w:rPr>
        <w:t xml:space="preserve"> designations for each.</w:t>
      </w:r>
    </w:p>
    <w:p w14:paraId="5D7A11A9" w14:textId="77777777" w:rsidR="0095295C" w:rsidRPr="0076539D" w:rsidRDefault="0095295C" w:rsidP="0095295C">
      <w:pPr>
        <w:numPr>
          <w:ilvl w:val="1"/>
          <w:numId w:val="5"/>
        </w:numPr>
        <w:tabs>
          <w:tab w:val="clear" w:pos="2428"/>
          <w:tab w:val="left" w:pos="829"/>
        </w:tabs>
        <w:kinsoku w:val="0"/>
        <w:overflowPunct w:val="0"/>
        <w:autoSpaceDE w:val="0"/>
        <w:autoSpaceDN w:val="0"/>
        <w:adjustRightInd w:val="0"/>
        <w:ind w:right="402"/>
        <w:rPr>
          <w:rFonts w:ascii="Arial" w:hAnsi="Arial" w:cs="Arial"/>
          <w:sz w:val="20"/>
          <w:szCs w:val="20"/>
        </w:rPr>
      </w:pPr>
      <w:r w:rsidRPr="0076539D">
        <w:rPr>
          <w:rFonts w:ascii="Arial" w:hAnsi="Arial" w:cs="Arial"/>
          <w:sz w:val="20"/>
          <w:szCs w:val="20"/>
        </w:rPr>
        <w:t xml:space="preserve">Leasing to an over-income household or exceeding the maximum housing expense does not increase a unit’s </w:t>
      </w:r>
      <w:r>
        <w:rPr>
          <w:rFonts w:ascii="Arial" w:hAnsi="Arial" w:cs="Arial"/>
          <w:sz w:val="20"/>
          <w:szCs w:val="20"/>
        </w:rPr>
        <w:t>AMI</w:t>
      </w:r>
      <w:r w:rsidRPr="0076539D">
        <w:rPr>
          <w:rFonts w:ascii="Arial" w:hAnsi="Arial" w:cs="Arial"/>
          <w:sz w:val="20"/>
          <w:szCs w:val="20"/>
        </w:rPr>
        <w:t xml:space="preserve"> designation.</w:t>
      </w:r>
      <w:r>
        <w:rPr>
          <w:rFonts w:ascii="Arial" w:hAnsi="Arial" w:cs="Arial"/>
          <w:sz w:val="20"/>
          <w:szCs w:val="20"/>
        </w:rPr>
        <w:t xml:space="preserve"> </w:t>
      </w:r>
    </w:p>
    <w:p w14:paraId="5177BA0A" w14:textId="6BACC121" w:rsidR="006527DC" w:rsidRPr="0095295C" w:rsidRDefault="00147FD9" w:rsidP="00221B4C">
      <w:pPr>
        <w:numPr>
          <w:ilvl w:val="1"/>
          <w:numId w:val="5"/>
        </w:numPr>
        <w:tabs>
          <w:tab w:val="clear" w:pos="2428"/>
          <w:tab w:val="left" w:pos="829"/>
        </w:tabs>
        <w:kinsoku w:val="0"/>
        <w:overflowPunct w:val="0"/>
        <w:autoSpaceDE w:val="0"/>
        <w:autoSpaceDN w:val="0"/>
        <w:adjustRightInd w:val="0"/>
        <w:spacing w:line="259" w:lineRule="auto"/>
        <w:ind w:right="285"/>
        <w:rPr>
          <w:rFonts w:ascii="Arial" w:hAnsi="Arial" w:cs="Arial"/>
          <w:sz w:val="20"/>
          <w:szCs w:val="20"/>
        </w:rPr>
      </w:pPr>
      <w:r w:rsidRPr="0095295C">
        <w:rPr>
          <w:rFonts w:ascii="Arial" w:hAnsi="Arial" w:cs="Arial"/>
          <w:sz w:val="20"/>
          <w:szCs w:val="20"/>
        </w:rPr>
        <w:t>The N</w:t>
      </w:r>
      <w:r w:rsidR="00A64E2C" w:rsidRPr="0095295C">
        <w:rPr>
          <w:rFonts w:ascii="Arial" w:hAnsi="Arial" w:cs="Arial"/>
          <w:sz w:val="20"/>
          <w:szCs w:val="20"/>
        </w:rPr>
        <w:t xml:space="preserve">ext Available Unit Rule </w:t>
      </w:r>
      <w:r w:rsidRPr="0095295C">
        <w:rPr>
          <w:rFonts w:ascii="Arial" w:hAnsi="Arial" w:cs="Arial"/>
          <w:sz w:val="20"/>
          <w:szCs w:val="20"/>
        </w:rPr>
        <w:t xml:space="preserve">operates the same as with the original </w:t>
      </w:r>
      <w:r w:rsidR="003B0FF1" w:rsidRPr="0095295C">
        <w:rPr>
          <w:rFonts w:ascii="Arial" w:hAnsi="Arial" w:cs="Arial"/>
          <w:sz w:val="20"/>
          <w:szCs w:val="20"/>
        </w:rPr>
        <w:t xml:space="preserve">20/50 and 40/60 </w:t>
      </w:r>
      <w:r w:rsidRPr="0095295C">
        <w:rPr>
          <w:rFonts w:ascii="Arial" w:hAnsi="Arial" w:cs="Arial"/>
          <w:sz w:val="20"/>
          <w:szCs w:val="20"/>
        </w:rPr>
        <w:t>set-aside</w:t>
      </w:r>
      <w:r w:rsidR="003B0FF1" w:rsidRPr="0095295C">
        <w:rPr>
          <w:rFonts w:ascii="Arial" w:hAnsi="Arial" w:cs="Arial"/>
          <w:sz w:val="20"/>
          <w:szCs w:val="20"/>
        </w:rPr>
        <w:t xml:space="preserve"> elections in a 100% </w:t>
      </w:r>
      <w:r w:rsidR="00A64E2C" w:rsidRPr="0095295C">
        <w:rPr>
          <w:rFonts w:ascii="Arial" w:hAnsi="Arial" w:cs="Arial"/>
          <w:sz w:val="20"/>
          <w:szCs w:val="20"/>
        </w:rPr>
        <w:t>tax c</w:t>
      </w:r>
      <w:r w:rsidRPr="0095295C">
        <w:rPr>
          <w:rFonts w:ascii="Arial" w:hAnsi="Arial" w:cs="Arial"/>
          <w:sz w:val="20"/>
          <w:szCs w:val="20"/>
        </w:rPr>
        <w:t>redit qualified</w:t>
      </w:r>
      <w:r w:rsidR="003B0FF1" w:rsidRPr="0095295C">
        <w:rPr>
          <w:rFonts w:ascii="Arial" w:hAnsi="Arial" w:cs="Arial"/>
          <w:sz w:val="20"/>
          <w:szCs w:val="20"/>
        </w:rPr>
        <w:t xml:space="preserve"> development</w:t>
      </w:r>
      <w:r w:rsidRPr="0095295C">
        <w:rPr>
          <w:rFonts w:ascii="Arial" w:hAnsi="Arial" w:cs="Arial"/>
          <w:sz w:val="20"/>
          <w:szCs w:val="20"/>
        </w:rPr>
        <w:t>.</w:t>
      </w:r>
      <w:r w:rsidR="00286F2B" w:rsidRPr="0095295C">
        <w:rPr>
          <w:rFonts w:ascii="Arial" w:hAnsi="Arial" w:cs="Arial"/>
          <w:sz w:val="20"/>
          <w:szCs w:val="20"/>
        </w:rPr>
        <w:t xml:space="preserve">  However if</w:t>
      </w:r>
    </w:p>
    <w:p w14:paraId="7929046B" w14:textId="77777777" w:rsidR="00286F2B" w:rsidRPr="0076539D" w:rsidRDefault="00A64E2C" w:rsidP="00DE779E">
      <w:pPr>
        <w:numPr>
          <w:ilvl w:val="2"/>
          <w:numId w:val="5"/>
        </w:numPr>
        <w:tabs>
          <w:tab w:val="clear" w:pos="2428"/>
          <w:tab w:val="left" w:pos="829"/>
        </w:tabs>
        <w:kinsoku w:val="0"/>
        <w:overflowPunct w:val="0"/>
        <w:autoSpaceDE w:val="0"/>
        <w:autoSpaceDN w:val="0"/>
        <w:adjustRightInd w:val="0"/>
        <w:spacing w:after="0" w:line="259" w:lineRule="auto"/>
        <w:ind w:right="285"/>
        <w:rPr>
          <w:rFonts w:ascii="Arial" w:hAnsi="Arial" w:cs="Arial"/>
          <w:sz w:val="20"/>
          <w:szCs w:val="20"/>
        </w:rPr>
      </w:pPr>
      <w:r w:rsidRPr="0076539D">
        <w:rPr>
          <w:rFonts w:ascii="Arial" w:hAnsi="Arial" w:cs="Arial"/>
          <w:sz w:val="20"/>
          <w:szCs w:val="20"/>
        </w:rPr>
        <w:t>a</w:t>
      </w:r>
      <w:r w:rsidR="00286F2B" w:rsidRPr="0076539D">
        <w:rPr>
          <w:rFonts w:ascii="Arial" w:hAnsi="Arial" w:cs="Arial"/>
          <w:sz w:val="20"/>
          <w:szCs w:val="20"/>
        </w:rPr>
        <w:t xml:space="preserve"> property had market rate units, one or more of which become vacant, and</w:t>
      </w:r>
    </w:p>
    <w:p w14:paraId="2AAC818C" w14:textId="5F5C4A57" w:rsidR="00286F2B" w:rsidRPr="009F02A9" w:rsidRDefault="00A64E2C" w:rsidP="00DE779E">
      <w:pPr>
        <w:numPr>
          <w:ilvl w:val="2"/>
          <w:numId w:val="5"/>
        </w:numPr>
        <w:tabs>
          <w:tab w:val="clear" w:pos="2428"/>
          <w:tab w:val="left" w:pos="829"/>
        </w:tabs>
        <w:kinsoku w:val="0"/>
        <w:overflowPunct w:val="0"/>
        <w:autoSpaceDE w:val="0"/>
        <w:autoSpaceDN w:val="0"/>
        <w:adjustRightInd w:val="0"/>
        <w:spacing w:after="0" w:line="259" w:lineRule="auto"/>
        <w:ind w:right="285"/>
        <w:rPr>
          <w:rFonts w:ascii="Arial" w:hAnsi="Arial" w:cs="Arial"/>
          <w:sz w:val="20"/>
          <w:szCs w:val="20"/>
        </w:rPr>
      </w:pPr>
      <w:r w:rsidRPr="0076539D">
        <w:rPr>
          <w:rFonts w:ascii="Arial" w:hAnsi="Arial" w:cs="Arial"/>
          <w:sz w:val="20"/>
          <w:szCs w:val="20"/>
        </w:rPr>
        <w:t>m</w:t>
      </w:r>
      <w:r w:rsidR="00286F2B" w:rsidRPr="0076539D">
        <w:rPr>
          <w:rFonts w:ascii="Arial" w:hAnsi="Arial" w:cs="Arial"/>
          <w:sz w:val="20"/>
          <w:szCs w:val="20"/>
        </w:rPr>
        <w:t>ultiple households in tax credit units are over the applicable 140% limit,</w:t>
      </w:r>
      <w:r w:rsidR="009F02A9">
        <w:rPr>
          <w:rFonts w:ascii="Arial" w:hAnsi="Arial" w:cs="Arial"/>
          <w:sz w:val="20"/>
          <w:szCs w:val="20"/>
        </w:rPr>
        <w:t xml:space="preserve"> </w:t>
      </w:r>
      <w:r w:rsidRPr="009F02A9">
        <w:rPr>
          <w:rFonts w:ascii="Arial" w:hAnsi="Arial" w:cs="Arial"/>
          <w:sz w:val="20"/>
          <w:szCs w:val="20"/>
        </w:rPr>
        <w:t>t</w:t>
      </w:r>
      <w:r w:rsidR="00286F2B" w:rsidRPr="009F02A9">
        <w:rPr>
          <w:rFonts w:ascii="Arial" w:hAnsi="Arial" w:cs="Arial"/>
          <w:sz w:val="20"/>
          <w:szCs w:val="20"/>
        </w:rPr>
        <w:t>he owner must rent the next available unit according to the lo</w:t>
      </w:r>
      <w:r w:rsidR="00091003" w:rsidRPr="009F02A9">
        <w:rPr>
          <w:rFonts w:ascii="Arial" w:hAnsi="Arial" w:cs="Arial"/>
          <w:sz w:val="20"/>
          <w:szCs w:val="20"/>
        </w:rPr>
        <w:t>west designation percentage amo</w:t>
      </w:r>
      <w:r w:rsidR="00286F2B" w:rsidRPr="009F02A9">
        <w:rPr>
          <w:rFonts w:ascii="Arial" w:hAnsi="Arial" w:cs="Arial"/>
          <w:sz w:val="20"/>
          <w:szCs w:val="20"/>
        </w:rPr>
        <w:t>ng the units with over-income households</w:t>
      </w:r>
    </w:p>
    <w:p w14:paraId="36F2905B" w14:textId="5E76968B" w:rsidR="00FA78BA" w:rsidRDefault="00C571F1" w:rsidP="00392877">
      <w:pPr>
        <w:numPr>
          <w:ilvl w:val="1"/>
          <w:numId w:val="5"/>
        </w:numPr>
        <w:tabs>
          <w:tab w:val="clear" w:pos="2428"/>
          <w:tab w:val="left" w:pos="829"/>
        </w:tabs>
        <w:kinsoku w:val="0"/>
        <w:overflowPunct w:val="0"/>
        <w:autoSpaceDE w:val="0"/>
        <w:autoSpaceDN w:val="0"/>
        <w:adjustRightInd w:val="0"/>
        <w:spacing w:line="259" w:lineRule="auto"/>
        <w:ind w:right="285"/>
        <w:rPr>
          <w:rFonts w:ascii="Arial" w:hAnsi="Arial" w:cs="Arial"/>
          <w:sz w:val="20"/>
          <w:szCs w:val="20"/>
        </w:rPr>
      </w:pPr>
      <w:r>
        <w:rPr>
          <w:rFonts w:ascii="Arial" w:hAnsi="Arial" w:cs="Arial"/>
          <w:sz w:val="20"/>
          <w:szCs w:val="20"/>
        </w:rPr>
        <w:t xml:space="preserve">Tenant Income Certifications will be required </w:t>
      </w:r>
      <w:r w:rsidR="00392877">
        <w:rPr>
          <w:rFonts w:ascii="Arial" w:hAnsi="Arial" w:cs="Arial"/>
          <w:sz w:val="20"/>
          <w:szCs w:val="20"/>
        </w:rPr>
        <w:t>for all developments (including 100% Tax Credit developments) during th</w:t>
      </w:r>
      <w:r>
        <w:rPr>
          <w:rFonts w:ascii="Arial" w:hAnsi="Arial" w:cs="Arial"/>
          <w:sz w:val="20"/>
          <w:szCs w:val="20"/>
        </w:rPr>
        <w:t xml:space="preserve">e compliance period.  </w:t>
      </w:r>
      <w:r w:rsidR="00FA78BA" w:rsidRPr="0076539D">
        <w:rPr>
          <w:rFonts w:ascii="Arial" w:hAnsi="Arial" w:cs="Arial"/>
          <w:sz w:val="20"/>
          <w:szCs w:val="20"/>
        </w:rPr>
        <w:t>Recertificat</w:t>
      </w:r>
      <w:r w:rsidR="009A1239">
        <w:rPr>
          <w:rFonts w:ascii="Arial" w:hAnsi="Arial" w:cs="Arial"/>
          <w:sz w:val="20"/>
          <w:szCs w:val="20"/>
        </w:rPr>
        <w:t>ion</w:t>
      </w:r>
      <w:r w:rsidR="00FA78BA" w:rsidRPr="0076539D">
        <w:rPr>
          <w:rFonts w:ascii="Arial" w:hAnsi="Arial" w:cs="Arial"/>
          <w:sz w:val="20"/>
          <w:szCs w:val="20"/>
        </w:rPr>
        <w:t xml:space="preserve"> Waiver</w:t>
      </w:r>
      <w:r w:rsidR="009A1239">
        <w:rPr>
          <w:rFonts w:ascii="Arial" w:hAnsi="Arial" w:cs="Arial"/>
          <w:sz w:val="20"/>
          <w:szCs w:val="20"/>
        </w:rPr>
        <w:t>s</w:t>
      </w:r>
      <w:r>
        <w:rPr>
          <w:rFonts w:ascii="Arial" w:hAnsi="Arial" w:cs="Arial"/>
          <w:sz w:val="20"/>
          <w:szCs w:val="20"/>
        </w:rPr>
        <w:t xml:space="preserve"> will not </w:t>
      </w:r>
      <w:r w:rsidR="00EE705A" w:rsidRPr="00221B4C">
        <w:rPr>
          <w:rFonts w:ascii="Arial" w:hAnsi="Arial" w:cs="Arial"/>
          <w:sz w:val="20"/>
          <w:szCs w:val="20"/>
        </w:rPr>
        <w:t xml:space="preserve">be </w:t>
      </w:r>
      <w:r w:rsidR="00392877">
        <w:rPr>
          <w:rFonts w:ascii="Arial" w:hAnsi="Arial" w:cs="Arial"/>
          <w:sz w:val="20"/>
          <w:szCs w:val="20"/>
        </w:rPr>
        <w:t>acceptable</w:t>
      </w:r>
      <w:r w:rsidR="00FA78BA" w:rsidRPr="00221B4C">
        <w:rPr>
          <w:rFonts w:ascii="Arial" w:hAnsi="Arial" w:cs="Arial"/>
          <w:sz w:val="20"/>
          <w:szCs w:val="20"/>
        </w:rPr>
        <w:t>.</w:t>
      </w:r>
    </w:p>
    <w:p w14:paraId="744007A1" w14:textId="0DAD7E47" w:rsidR="00FA78BA" w:rsidRPr="009F02A9" w:rsidRDefault="00221B4C" w:rsidP="009F02A9">
      <w:pPr>
        <w:numPr>
          <w:ilvl w:val="1"/>
          <w:numId w:val="5"/>
        </w:numPr>
        <w:tabs>
          <w:tab w:val="clear" w:pos="2428"/>
          <w:tab w:val="left" w:pos="829"/>
        </w:tabs>
        <w:kinsoku w:val="0"/>
        <w:overflowPunct w:val="0"/>
        <w:autoSpaceDE w:val="0"/>
        <w:autoSpaceDN w:val="0"/>
        <w:adjustRightInd w:val="0"/>
        <w:spacing w:line="259" w:lineRule="auto"/>
        <w:ind w:right="285"/>
        <w:rPr>
          <w:rFonts w:ascii="Arial" w:hAnsi="Arial" w:cs="Arial"/>
          <w:sz w:val="20"/>
          <w:szCs w:val="20"/>
        </w:rPr>
      </w:pPr>
      <w:r w:rsidRPr="00392877">
        <w:rPr>
          <w:rFonts w:ascii="Arial" w:hAnsi="Arial" w:cs="Arial"/>
          <w:sz w:val="20"/>
          <w:szCs w:val="20"/>
        </w:rPr>
        <w:t xml:space="preserve">VHFA reserves the right to charge </w:t>
      </w:r>
      <w:r w:rsidR="00F43068" w:rsidRPr="00392877">
        <w:rPr>
          <w:rFonts w:ascii="Arial" w:hAnsi="Arial" w:cs="Arial"/>
          <w:sz w:val="20"/>
          <w:szCs w:val="20"/>
        </w:rPr>
        <w:t>an</w:t>
      </w:r>
      <w:r w:rsidR="009F02A9">
        <w:rPr>
          <w:rFonts w:ascii="Arial" w:hAnsi="Arial" w:cs="Arial"/>
          <w:sz w:val="20"/>
          <w:szCs w:val="20"/>
        </w:rPr>
        <w:t xml:space="preserve"> increase</w:t>
      </w:r>
      <w:r w:rsidRPr="00392877">
        <w:rPr>
          <w:rFonts w:ascii="Arial" w:hAnsi="Arial" w:cs="Arial"/>
          <w:sz w:val="20"/>
          <w:szCs w:val="20"/>
        </w:rPr>
        <w:t xml:space="preserve"> tax credit compliance monitoring fee for development that elect to use income averaging.</w:t>
      </w:r>
    </w:p>
    <w:p w14:paraId="57719E5A" w14:textId="77777777" w:rsidR="00147FD9" w:rsidRPr="0076539D" w:rsidRDefault="00147FD9" w:rsidP="006527DC">
      <w:pPr>
        <w:numPr>
          <w:ilvl w:val="0"/>
          <w:numId w:val="5"/>
        </w:numPr>
        <w:tabs>
          <w:tab w:val="clear" w:pos="2428"/>
          <w:tab w:val="left" w:pos="469"/>
        </w:tabs>
        <w:kinsoku w:val="0"/>
        <w:overflowPunct w:val="0"/>
        <w:autoSpaceDE w:val="0"/>
        <w:autoSpaceDN w:val="0"/>
        <w:adjustRightInd w:val="0"/>
        <w:spacing w:after="0"/>
        <w:ind w:hanging="360"/>
        <w:outlineLvl w:val="0"/>
        <w:rPr>
          <w:rFonts w:ascii="Arial" w:hAnsi="Arial" w:cs="Arial"/>
          <w:b/>
          <w:bCs/>
          <w:sz w:val="20"/>
          <w:szCs w:val="20"/>
        </w:rPr>
      </w:pPr>
      <w:r w:rsidRPr="0076539D">
        <w:rPr>
          <w:rFonts w:ascii="Arial" w:hAnsi="Arial" w:cs="Arial"/>
          <w:b/>
          <w:bCs/>
          <w:sz w:val="20"/>
          <w:szCs w:val="20"/>
        </w:rPr>
        <w:t xml:space="preserve">Requests to </w:t>
      </w:r>
      <w:r w:rsidR="00A64E2C" w:rsidRPr="0076539D">
        <w:rPr>
          <w:rFonts w:ascii="Arial" w:hAnsi="Arial" w:cs="Arial"/>
          <w:b/>
          <w:bCs/>
          <w:sz w:val="20"/>
          <w:szCs w:val="20"/>
        </w:rPr>
        <w:t>elect</w:t>
      </w:r>
      <w:r w:rsidRPr="0076539D">
        <w:rPr>
          <w:rFonts w:ascii="Arial" w:hAnsi="Arial" w:cs="Arial"/>
          <w:b/>
          <w:bCs/>
          <w:sz w:val="20"/>
          <w:szCs w:val="20"/>
        </w:rPr>
        <w:t xml:space="preserve"> set-aside must include the following:</w:t>
      </w:r>
    </w:p>
    <w:p w14:paraId="3CD4CE11" w14:textId="77777777" w:rsidR="00147FD9" w:rsidRPr="0076539D" w:rsidRDefault="006527DC" w:rsidP="00147FD9">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76539D">
        <w:rPr>
          <w:rFonts w:ascii="Arial" w:hAnsi="Arial" w:cs="Arial"/>
          <w:sz w:val="20"/>
          <w:szCs w:val="20"/>
        </w:rPr>
        <w:t>A VHFA</w:t>
      </w:r>
      <w:r w:rsidR="00147FD9" w:rsidRPr="0076539D">
        <w:rPr>
          <w:rFonts w:ascii="Arial" w:hAnsi="Arial" w:cs="Arial"/>
          <w:sz w:val="20"/>
          <w:szCs w:val="20"/>
        </w:rPr>
        <w:t xml:space="preserve"> Application reflecting all</w:t>
      </w:r>
      <w:r w:rsidR="00147FD9" w:rsidRPr="0076539D">
        <w:rPr>
          <w:rFonts w:ascii="Arial" w:hAnsi="Arial" w:cs="Arial"/>
          <w:spacing w:val="-8"/>
          <w:sz w:val="20"/>
          <w:szCs w:val="20"/>
        </w:rPr>
        <w:t xml:space="preserve"> </w:t>
      </w:r>
      <w:r w:rsidR="00221B4C">
        <w:rPr>
          <w:rFonts w:ascii="Arial" w:hAnsi="Arial" w:cs="Arial"/>
          <w:spacing w:val="-8"/>
          <w:sz w:val="20"/>
          <w:szCs w:val="20"/>
        </w:rPr>
        <w:t xml:space="preserve">income </w:t>
      </w:r>
      <w:r w:rsidR="00147FD9" w:rsidRPr="0076539D">
        <w:rPr>
          <w:rFonts w:ascii="Arial" w:hAnsi="Arial" w:cs="Arial"/>
          <w:sz w:val="20"/>
          <w:szCs w:val="20"/>
        </w:rPr>
        <w:t>designations.</w:t>
      </w:r>
    </w:p>
    <w:p w14:paraId="4AF2472E" w14:textId="44C89C00" w:rsidR="00BE1B70" w:rsidRPr="0076539D" w:rsidRDefault="00147FD9" w:rsidP="00BE1B70">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76539D">
        <w:rPr>
          <w:rFonts w:ascii="Arial" w:hAnsi="Arial" w:cs="Arial"/>
          <w:sz w:val="20"/>
          <w:szCs w:val="20"/>
        </w:rPr>
        <w:t xml:space="preserve">A </w:t>
      </w:r>
      <w:r w:rsidR="00A64E2C" w:rsidRPr="0076539D">
        <w:rPr>
          <w:rFonts w:ascii="Arial" w:hAnsi="Arial" w:cs="Arial"/>
          <w:sz w:val="20"/>
          <w:szCs w:val="20"/>
        </w:rPr>
        <w:t>spreadsheet</w:t>
      </w:r>
      <w:r w:rsidRPr="0076539D">
        <w:rPr>
          <w:rFonts w:ascii="Arial" w:hAnsi="Arial" w:cs="Arial"/>
          <w:sz w:val="20"/>
          <w:szCs w:val="20"/>
        </w:rPr>
        <w:t xml:space="preserve"> showing the AMI percentage(s) for designated</w:t>
      </w:r>
      <w:r w:rsidR="006E5B2D">
        <w:rPr>
          <w:rFonts w:ascii="Arial" w:hAnsi="Arial" w:cs="Arial"/>
          <w:sz w:val="20"/>
          <w:szCs w:val="20"/>
        </w:rPr>
        <w:t xml:space="preserve"> set-aside</w:t>
      </w:r>
      <w:r w:rsidRPr="0076539D">
        <w:rPr>
          <w:rFonts w:ascii="Arial" w:hAnsi="Arial" w:cs="Arial"/>
          <w:sz w:val="20"/>
          <w:szCs w:val="20"/>
        </w:rPr>
        <w:t xml:space="preserve"> unit type</w:t>
      </w:r>
      <w:r w:rsidR="006E5B2D">
        <w:rPr>
          <w:rFonts w:ascii="Arial" w:hAnsi="Arial" w:cs="Arial"/>
          <w:sz w:val="20"/>
          <w:szCs w:val="20"/>
        </w:rPr>
        <w:t>s</w:t>
      </w:r>
      <w:r w:rsidR="00221B4C">
        <w:rPr>
          <w:rFonts w:ascii="Arial" w:hAnsi="Arial" w:cs="Arial"/>
          <w:sz w:val="20"/>
          <w:szCs w:val="20"/>
        </w:rPr>
        <w:t xml:space="preserve"> and size</w:t>
      </w:r>
      <w:r w:rsidR="006E5B2D">
        <w:rPr>
          <w:rFonts w:ascii="Arial" w:hAnsi="Arial" w:cs="Arial"/>
          <w:sz w:val="20"/>
          <w:szCs w:val="20"/>
        </w:rPr>
        <w:t>s</w:t>
      </w:r>
      <w:r w:rsidRPr="0076539D">
        <w:rPr>
          <w:rFonts w:ascii="Arial" w:hAnsi="Arial" w:cs="Arial"/>
          <w:sz w:val="20"/>
          <w:szCs w:val="20"/>
        </w:rPr>
        <w:t>.</w:t>
      </w:r>
    </w:p>
    <w:p w14:paraId="4BA183DB" w14:textId="77777777" w:rsidR="00147FD9" w:rsidRPr="0076539D" w:rsidRDefault="00147FD9" w:rsidP="00BE1B70">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76539D">
        <w:rPr>
          <w:rFonts w:ascii="Arial" w:hAnsi="Arial" w:cs="Arial"/>
          <w:sz w:val="20"/>
          <w:szCs w:val="20"/>
        </w:rPr>
        <w:t>A legal opinion stating income averaging will be compatible with the requirements of all other anticipated funding sources and project-based operating assistance (if</w:t>
      </w:r>
      <w:r w:rsidRPr="009F02A9">
        <w:rPr>
          <w:rFonts w:ascii="Arial" w:hAnsi="Arial" w:cs="Arial"/>
          <w:sz w:val="20"/>
          <w:szCs w:val="20"/>
        </w:rPr>
        <w:t xml:space="preserve"> </w:t>
      </w:r>
      <w:r w:rsidRPr="0076539D">
        <w:rPr>
          <w:rFonts w:ascii="Arial" w:hAnsi="Arial" w:cs="Arial"/>
          <w:sz w:val="20"/>
          <w:szCs w:val="20"/>
        </w:rPr>
        <w:t>applicable).</w:t>
      </w:r>
    </w:p>
    <w:p w14:paraId="0E4C41BA" w14:textId="084F4769" w:rsidR="00147FD9" w:rsidRDefault="00147FD9" w:rsidP="009F02A9">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2C5E5F">
        <w:rPr>
          <w:rFonts w:ascii="Arial" w:hAnsi="Arial" w:cs="Arial"/>
          <w:sz w:val="20"/>
          <w:szCs w:val="20"/>
        </w:rPr>
        <w:lastRenderedPageBreak/>
        <w:t>A statement from permanent lenders and the equity provider acknowledging income</w:t>
      </w:r>
      <w:r w:rsidRPr="009F02A9">
        <w:rPr>
          <w:rFonts w:ascii="Arial" w:hAnsi="Arial" w:cs="Arial"/>
          <w:sz w:val="20"/>
          <w:szCs w:val="20"/>
        </w:rPr>
        <w:t xml:space="preserve"> </w:t>
      </w:r>
      <w:r w:rsidRPr="002C5E5F">
        <w:rPr>
          <w:rFonts w:ascii="Arial" w:hAnsi="Arial" w:cs="Arial"/>
          <w:sz w:val="20"/>
          <w:szCs w:val="20"/>
        </w:rPr>
        <w:t>averaging</w:t>
      </w:r>
      <w:r w:rsidR="00B63A23">
        <w:rPr>
          <w:rFonts w:ascii="Arial" w:hAnsi="Arial" w:cs="Arial"/>
          <w:sz w:val="20"/>
          <w:szCs w:val="20"/>
        </w:rPr>
        <w:t xml:space="preserve"> will</w:t>
      </w:r>
      <w:r w:rsidR="00500C7E" w:rsidRPr="002C5E5F">
        <w:rPr>
          <w:rFonts w:ascii="Arial" w:hAnsi="Arial" w:cs="Arial"/>
          <w:sz w:val="20"/>
          <w:szCs w:val="20"/>
        </w:rPr>
        <w:t xml:space="preserve"> be used and must be maintained for the 15 year compliance period and subsequent extended use period</w:t>
      </w:r>
      <w:r w:rsidRPr="002C5E5F">
        <w:rPr>
          <w:rFonts w:ascii="Arial" w:hAnsi="Arial" w:cs="Arial"/>
          <w:sz w:val="20"/>
          <w:szCs w:val="20"/>
        </w:rPr>
        <w:t>.</w:t>
      </w:r>
    </w:p>
    <w:p w14:paraId="1E8235E5" w14:textId="06669E95" w:rsidR="00147FD9" w:rsidRDefault="00BE1B70" w:rsidP="009F02A9">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2C5E5F">
        <w:rPr>
          <w:rFonts w:ascii="Arial" w:hAnsi="Arial" w:cs="Arial"/>
          <w:sz w:val="20"/>
          <w:szCs w:val="20"/>
        </w:rPr>
        <w:t xml:space="preserve">A </w:t>
      </w:r>
      <w:r w:rsidR="00147FD9" w:rsidRPr="002C5E5F">
        <w:rPr>
          <w:rFonts w:ascii="Arial" w:hAnsi="Arial" w:cs="Arial"/>
          <w:sz w:val="20"/>
          <w:szCs w:val="20"/>
        </w:rPr>
        <w:t>market study showing adequate demand for all possible combinations of unit sizes and percent limits.</w:t>
      </w:r>
    </w:p>
    <w:p w14:paraId="045A43F3" w14:textId="7EDDFE9E" w:rsidR="00147FD9" w:rsidRPr="002C5E5F" w:rsidRDefault="00147FD9" w:rsidP="009F02A9">
      <w:pPr>
        <w:pStyle w:val="ListParagraph"/>
        <w:numPr>
          <w:ilvl w:val="1"/>
          <w:numId w:val="8"/>
        </w:numPr>
        <w:tabs>
          <w:tab w:val="clear" w:pos="2428"/>
          <w:tab w:val="left" w:pos="829"/>
        </w:tabs>
        <w:kinsoku w:val="0"/>
        <w:overflowPunct w:val="0"/>
        <w:autoSpaceDE w:val="0"/>
        <w:autoSpaceDN w:val="0"/>
        <w:adjustRightInd w:val="0"/>
        <w:spacing w:before="120"/>
        <w:contextualSpacing w:val="0"/>
        <w:rPr>
          <w:rFonts w:ascii="Arial" w:hAnsi="Arial" w:cs="Arial"/>
          <w:sz w:val="20"/>
          <w:szCs w:val="20"/>
        </w:rPr>
      </w:pPr>
      <w:r w:rsidRPr="002C5E5F">
        <w:rPr>
          <w:rFonts w:ascii="Arial" w:hAnsi="Arial" w:cs="Arial"/>
          <w:sz w:val="20"/>
          <w:szCs w:val="20"/>
        </w:rPr>
        <w:t>Statement committing to annual income averaging training for on-site property managers.</w:t>
      </w:r>
    </w:p>
    <w:p w14:paraId="15ED65C5" w14:textId="77777777" w:rsidR="00147FD9" w:rsidRPr="0076539D" w:rsidRDefault="00147FD9" w:rsidP="00147FD9">
      <w:pPr>
        <w:pStyle w:val="BodyText"/>
        <w:kinsoku w:val="0"/>
        <w:overflowPunct w:val="0"/>
        <w:ind w:left="0" w:firstLine="0"/>
        <w:rPr>
          <w:rFonts w:ascii="Arial" w:hAnsi="Arial" w:cs="Arial"/>
          <w:sz w:val="20"/>
          <w:szCs w:val="20"/>
        </w:rPr>
      </w:pPr>
    </w:p>
    <w:p w14:paraId="4F65FBA6" w14:textId="77777777" w:rsidR="00BE1B70" w:rsidRPr="009F02A9" w:rsidRDefault="00147FD9" w:rsidP="00BE1B70">
      <w:pPr>
        <w:numPr>
          <w:ilvl w:val="0"/>
          <w:numId w:val="5"/>
        </w:numPr>
        <w:tabs>
          <w:tab w:val="clear" w:pos="2428"/>
          <w:tab w:val="left" w:pos="469"/>
        </w:tabs>
        <w:kinsoku w:val="0"/>
        <w:overflowPunct w:val="0"/>
        <w:autoSpaceDE w:val="0"/>
        <w:autoSpaceDN w:val="0"/>
        <w:adjustRightInd w:val="0"/>
        <w:spacing w:after="0"/>
        <w:ind w:hanging="360"/>
        <w:outlineLvl w:val="0"/>
        <w:rPr>
          <w:rFonts w:ascii="Arial" w:hAnsi="Arial" w:cs="Arial"/>
          <w:b/>
          <w:sz w:val="20"/>
          <w:szCs w:val="20"/>
        </w:rPr>
      </w:pPr>
      <w:r w:rsidRPr="009F02A9">
        <w:rPr>
          <w:rFonts w:ascii="Arial" w:hAnsi="Arial" w:cs="Arial"/>
          <w:b/>
          <w:sz w:val="20"/>
          <w:szCs w:val="20"/>
        </w:rPr>
        <w:t>9% Credit Applications</w:t>
      </w:r>
    </w:p>
    <w:p w14:paraId="1673FB47" w14:textId="77777777" w:rsidR="00CB5EB0" w:rsidRPr="0076539D" w:rsidRDefault="00CB5EB0" w:rsidP="00CB5EB0">
      <w:pPr>
        <w:tabs>
          <w:tab w:val="clear" w:pos="2428"/>
          <w:tab w:val="left" w:pos="469"/>
        </w:tabs>
        <w:kinsoku w:val="0"/>
        <w:overflowPunct w:val="0"/>
        <w:autoSpaceDE w:val="0"/>
        <w:autoSpaceDN w:val="0"/>
        <w:adjustRightInd w:val="0"/>
        <w:spacing w:after="0"/>
        <w:ind w:left="468"/>
        <w:outlineLvl w:val="0"/>
        <w:rPr>
          <w:rFonts w:ascii="Arial" w:hAnsi="Arial" w:cs="Arial"/>
          <w:b/>
          <w:bCs/>
          <w:sz w:val="20"/>
          <w:szCs w:val="20"/>
        </w:rPr>
      </w:pPr>
    </w:p>
    <w:p w14:paraId="7A7BA2D0" w14:textId="42D5828A" w:rsidR="00147FD9" w:rsidRPr="0076539D" w:rsidRDefault="00147FD9" w:rsidP="00CB5EB0">
      <w:pPr>
        <w:tabs>
          <w:tab w:val="clear" w:pos="2428"/>
          <w:tab w:val="left" w:pos="469"/>
        </w:tabs>
        <w:kinsoku w:val="0"/>
        <w:overflowPunct w:val="0"/>
        <w:autoSpaceDE w:val="0"/>
        <w:autoSpaceDN w:val="0"/>
        <w:adjustRightInd w:val="0"/>
        <w:ind w:left="108"/>
        <w:outlineLvl w:val="0"/>
        <w:rPr>
          <w:rFonts w:ascii="Arial" w:hAnsi="Arial" w:cs="Arial"/>
          <w:sz w:val="20"/>
          <w:szCs w:val="20"/>
        </w:rPr>
      </w:pPr>
      <w:r w:rsidRPr="0076539D">
        <w:rPr>
          <w:rFonts w:ascii="Arial" w:hAnsi="Arial" w:cs="Arial"/>
          <w:sz w:val="20"/>
          <w:szCs w:val="20"/>
        </w:rPr>
        <w:t xml:space="preserve">Income averaging </w:t>
      </w:r>
      <w:r w:rsidR="00B63A23">
        <w:rPr>
          <w:rFonts w:ascii="Arial" w:hAnsi="Arial" w:cs="Arial"/>
          <w:sz w:val="20"/>
          <w:szCs w:val="20"/>
        </w:rPr>
        <w:t>is</w:t>
      </w:r>
      <w:r w:rsidR="00CB5EB0" w:rsidRPr="0076539D">
        <w:rPr>
          <w:rFonts w:ascii="Arial" w:hAnsi="Arial" w:cs="Arial"/>
          <w:sz w:val="20"/>
          <w:szCs w:val="20"/>
        </w:rPr>
        <w:t xml:space="preserve"> ava</w:t>
      </w:r>
      <w:r w:rsidRPr="0076539D">
        <w:rPr>
          <w:rFonts w:ascii="Arial" w:hAnsi="Arial" w:cs="Arial"/>
          <w:sz w:val="20"/>
          <w:szCs w:val="20"/>
        </w:rPr>
        <w:t xml:space="preserve">ilable </w:t>
      </w:r>
      <w:r w:rsidRPr="0076539D">
        <w:rPr>
          <w:rFonts w:ascii="Arial" w:hAnsi="Arial" w:cs="Arial"/>
          <w:sz w:val="20"/>
          <w:szCs w:val="20"/>
          <w:u w:val="single"/>
        </w:rPr>
        <w:t xml:space="preserve">at the time of the </w:t>
      </w:r>
      <w:r w:rsidR="009E1910">
        <w:rPr>
          <w:rFonts w:ascii="Arial" w:hAnsi="Arial" w:cs="Arial"/>
          <w:sz w:val="20"/>
          <w:szCs w:val="20"/>
          <w:u w:val="single"/>
        </w:rPr>
        <w:t>2020</w:t>
      </w:r>
      <w:r w:rsidR="00CB5EB0" w:rsidRPr="0076539D">
        <w:rPr>
          <w:rFonts w:ascii="Arial" w:hAnsi="Arial" w:cs="Arial"/>
          <w:sz w:val="20"/>
          <w:szCs w:val="20"/>
          <w:u w:val="single"/>
        </w:rPr>
        <w:t xml:space="preserve"> </w:t>
      </w:r>
      <w:r w:rsidRPr="0076539D">
        <w:rPr>
          <w:rFonts w:ascii="Arial" w:hAnsi="Arial" w:cs="Arial"/>
          <w:sz w:val="20"/>
          <w:szCs w:val="20"/>
          <w:u w:val="single"/>
        </w:rPr>
        <w:t>competitive round</w:t>
      </w:r>
      <w:r w:rsidR="00221B4C" w:rsidRPr="00221B4C">
        <w:rPr>
          <w:rFonts w:ascii="Arial" w:hAnsi="Arial" w:cs="Arial"/>
          <w:sz w:val="20"/>
          <w:szCs w:val="20"/>
        </w:rPr>
        <w:t xml:space="preserve"> and fol</w:t>
      </w:r>
      <w:r w:rsidR="00221B4C">
        <w:rPr>
          <w:rFonts w:ascii="Arial" w:hAnsi="Arial" w:cs="Arial"/>
          <w:sz w:val="20"/>
          <w:szCs w:val="20"/>
        </w:rPr>
        <w:t>l</w:t>
      </w:r>
      <w:r w:rsidR="00221B4C" w:rsidRPr="00221B4C">
        <w:rPr>
          <w:rFonts w:ascii="Arial" w:hAnsi="Arial" w:cs="Arial"/>
          <w:sz w:val="20"/>
          <w:szCs w:val="20"/>
        </w:rPr>
        <w:t>owing</w:t>
      </w:r>
      <w:r w:rsidRPr="0076539D">
        <w:rPr>
          <w:rFonts w:ascii="Arial" w:hAnsi="Arial" w:cs="Arial"/>
          <w:sz w:val="20"/>
          <w:szCs w:val="20"/>
        </w:rPr>
        <w:t xml:space="preserve">. </w:t>
      </w:r>
    </w:p>
    <w:p w14:paraId="74220576" w14:textId="77777777" w:rsidR="00147FD9" w:rsidRPr="0076539D" w:rsidRDefault="00147FD9" w:rsidP="00147FD9">
      <w:pPr>
        <w:pStyle w:val="BodyText"/>
        <w:kinsoku w:val="0"/>
        <w:overflowPunct w:val="0"/>
        <w:ind w:left="0" w:firstLine="0"/>
        <w:rPr>
          <w:rFonts w:ascii="Arial" w:hAnsi="Arial" w:cs="Arial"/>
          <w:sz w:val="20"/>
          <w:szCs w:val="20"/>
        </w:rPr>
      </w:pPr>
    </w:p>
    <w:p w14:paraId="58388277" w14:textId="77777777" w:rsidR="00147FD9" w:rsidRPr="0076539D" w:rsidRDefault="00147FD9" w:rsidP="00BE1B70">
      <w:pPr>
        <w:numPr>
          <w:ilvl w:val="0"/>
          <w:numId w:val="5"/>
        </w:numPr>
        <w:tabs>
          <w:tab w:val="clear" w:pos="2428"/>
          <w:tab w:val="left" w:pos="469"/>
        </w:tabs>
        <w:kinsoku w:val="0"/>
        <w:overflowPunct w:val="0"/>
        <w:autoSpaceDE w:val="0"/>
        <w:autoSpaceDN w:val="0"/>
        <w:adjustRightInd w:val="0"/>
        <w:spacing w:after="0"/>
        <w:ind w:hanging="360"/>
        <w:outlineLvl w:val="0"/>
        <w:rPr>
          <w:rFonts w:ascii="Arial" w:hAnsi="Arial" w:cs="Arial"/>
          <w:b/>
          <w:bCs/>
          <w:sz w:val="20"/>
          <w:szCs w:val="20"/>
        </w:rPr>
      </w:pPr>
      <w:r w:rsidRPr="0076539D">
        <w:rPr>
          <w:rFonts w:ascii="Arial" w:hAnsi="Arial" w:cs="Arial"/>
          <w:b/>
          <w:bCs/>
          <w:sz w:val="20"/>
          <w:szCs w:val="20"/>
        </w:rPr>
        <w:t>4% Tax Exempt Bonds/4% Credit Applications</w:t>
      </w:r>
    </w:p>
    <w:p w14:paraId="0AF20027" w14:textId="77777777" w:rsidR="00CB5EB0" w:rsidRPr="0076539D" w:rsidRDefault="00CB5EB0" w:rsidP="00CB5EB0">
      <w:pPr>
        <w:tabs>
          <w:tab w:val="clear" w:pos="2428"/>
          <w:tab w:val="left" w:pos="469"/>
        </w:tabs>
        <w:kinsoku w:val="0"/>
        <w:overflowPunct w:val="0"/>
        <w:autoSpaceDE w:val="0"/>
        <w:autoSpaceDN w:val="0"/>
        <w:adjustRightInd w:val="0"/>
        <w:spacing w:after="0"/>
        <w:ind w:left="468"/>
        <w:outlineLvl w:val="0"/>
        <w:rPr>
          <w:rFonts w:ascii="Arial" w:hAnsi="Arial" w:cs="Arial"/>
          <w:b/>
          <w:bCs/>
          <w:sz w:val="20"/>
          <w:szCs w:val="20"/>
        </w:rPr>
      </w:pPr>
    </w:p>
    <w:p w14:paraId="00FC8162" w14:textId="77777777" w:rsidR="00BE1B70" w:rsidRDefault="00147FD9" w:rsidP="004D21EB">
      <w:pPr>
        <w:pStyle w:val="BodyText"/>
        <w:kinsoku w:val="0"/>
        <w:overflowPunct w:val="0"/>
        <w:ind w:left="39" w:right="225" w:firstLine="0"/>
        <w:rPr>
          <w:rFonts w:ascii="Arial" w:hAnsi="Arial" w:cs="Arial"/>
          <w:sz w:val="20"/>
          <w:szCs w:val="20"/>
        </w:rPr>
      </w:pPr>
      <w:r w:rsidRPr="0076539D">
        <w:rPr>
          <w:rFonts w:ascii="Arial" w:hAnsi="Arial" w:cs="Arial"/>
          <w:sz w:val="20"/>
          <w:szCs w:val="20"/>
        </w:rPr>
        <w:t>The Act did not change IRC Section 142, which includes multifamily Housing Bonds. However, these properties may satisfy both income averaging and one of the elections applicable to tax-exempt financing (20</w:t>
      </w:r>
      <w:r w:rsidR="004D21EB" w:rsidRPr="0076539D">
        <w:rPr>
          <w:rFonts w:ascii="Arial" w:hAnsi="Arial" w:cs="Arial"/>
          <w:sz w:val="20"/>
          <w:szCs w:val="20"/>
        </w:rPr>
        <w:t>%</w:t>
      </w:r>
      <w:r w:rsidRPr="0076539D">
        <w:rPr>
          <w:rFonts w:ascii="Arial" w:hAnsi="Arial" w:cs="Arial"/>
          <w:sz w:val="20"/>
          <w:szCs w:val="20"/>
        </w:rPr>
        <w:t xml:space="preserve"> at 50</w:t>
      </w:r>
      <w:r w:rsidR="004D21EB" w:rsidRPr="0076539D">
        <w:rPr>
          <w:rFonts w:ascii="Arial" w:hAnsi="Arial" w:cs="Arial"/>
          <w:sz w:val="20"/>
          <w:szCs w:val="20"/>
        </w:rPr>
        <w:t>%</w:t>
      </w:r>
      <w:r w:rsidRPr="0076539D">
        <w:rPr>
          <w:rFonts w:ascii="Arial" w:hAnsi="Arial" w:cs="Arial"/>
          <w:sz w:val="20"/>
          <w:szCs w:val="20"/>
        </w:rPr>
        <w:t xml:space="preserve"> or 40</w:t>
      </w:r>
      <w:r w:rsidR="004D21EB" w:rsidRPr="0076539D">
        <w:rPr>
          <w:rFonts w:ascii="Arial" w:hAnsi="Arial" w:cs="Arial"/>
          <w:sz w:val="20"/>
          <w:szCs w:val="20"/>
        </w:rPr>
        <w:t>%</w:t>
      </w:r>
      <w:r w:rsidRPr="0076539D">
        <w:rPr>
          <w:rFonts w:ascii="Arial" w:hAnsi="Arial" w:cs="Arial"/>
          <w:sz w:val="20"/>
          <w:szCs w:val="20"/>
        </w:rPr>
        <w:t xml:space="preserve"> at 60</w:t>
      </w:r>
      <w:r w:rsidR="004D21EB" w:rsidRPr="0076539D">
        <w:rPr>
          <w:rFonts w:ascii="Arial" w:hAnsi="Arial" w:cs="Arial"/>
          <w:sz w:val="20"/>
          <w:szCs w:val="20"/>
        </w:rPr>
        <w:t>%</w:t>
      </w:r>
      <w:r w:rsidRPr="0076539D">
        <w:rPr>
          <w:rFonts w:ascii="Arial" w:hAnsi="Arial" w:cs="Arial"/>
          <w:sz w:val="20"/>
          <w:szCs w:val="20"/>
        </w:rPr>
        <w:t>).</w:t>
      </w:r>
      <w:r w:rsidR="00011828" w:rsidRPr="0076539D">
        <w:rPr>
          <w:rFonts w:ascii="Arial" w:hAnsi="Arial" w:cs="Arial"/>
          <w:sz w:val="20"/>
          <w:szCs w:val="20"/>
        </w:rPr>
        <w:t xml:space="preserve">  Units with incomes above 60% or 50%, as applicable, do not count for purposes of bond compliance.</w:t>
      </w:r>
    </w:p>
    <w:p w14:paraId="6D0DA766" w14:textId="77777777" w:rsidR="004C4C44" w:rsidRDefault="004C4C44" w:rsidP="004D21EB">
      <w:pPr>
        <w:pStyle w:val="BodyText"/>
        <w:kinsoku w:val="0"/>
        <w:overflowPunct w:val="0"/>
        <w:ind w:left="39" w:right="225" w:firstLine="0"/>
        <w:rPr>
          <w:rFonts w:ascii="Arial" w:hAnsi="Arial" w:cs="Arial"/>
          <w:sz w:val="20"/>
          <w:szCs w:val="20"/>
        </w:rPr>
      </w:pPr>
    </w:p>
    <w:p w14:paraId="54243FEB" w14:textId="77777777" w:rsidR="002C5E5F" w:rsidRDefault="004C4C44" w:rsidP="009428CA">
      <w:pPr>
        <w:pStyle w:val="BodyText"/>
        <w:kinsoku w:val="0"/>
        <w:overflowPunct w:val="0"/>
        <w:ind w:left="39" w:right="225" w:firstLine="0"/>
        <w:rPr>
          <w:rFonts w:ascii="Arial" w:hAnsi="Arial" w:cs="Arial"/>
          <w:b/>
          <w:sz w:val="20"/>
          <w:szCs w:val="20"/>
        </w:rPr>
      </w:pPr>
      <w:r>
        <w:rPr>
          <w:rFonts w:ascii="Arial" w:hAnsi="Arial" w:cs="Arial"/>
          <w:b/>
          <w:sz w:val="20"/>
          <w:szCs w:val="20"/>
        </w:rPr>
        <w:t>This policy is subject to change at the discretion of the Verm</w:t>
      </w:r>
      <w:r w:rsidR="006E5B2D">
        <w:rPr>
          <w:rFonts w:ascii="Arial" w:hAnsi="Arial" w:cs="Arial"/>
          <w:b/>
          <w:sz w:val="20"/>
          <w:szCs w:val="20"/>
        </w:rPr>
        <w:t xml:space="preserve">ont Housing Finance Agency. Compliance with Section 42 of the IRS and any policy, including future updates, implemented by the Vermont Housing Finance Agency is the responsibility of the owner of a property. </w:t>
      </w:r>
      <w:r w:rsidR="009428CA">
        <w:rPr>
          <w:rFonts w:ascii="Arial" w:hAnsi="Arial" w:cs="Arial"/>
          <w:b/>
          <w:sz w:val="20"/>
          <w:szCs w:val="20"/>
        </w:rPr>
        <w:tab/>
      </w:r>
      <w:r w:rsidR="009428CA">
        <w:rPr>
          <w:rFonts w:ascii="Arial" w:hAnsi="Arial" w:cs="Arial"/>
          <w:b/>
          <w:sz w:val="20"/>
          <w:szCs w:val="20"/>
        </w:rPr>
        <w:tab/>
      </w:r>
      <w:r w:rsidR="009428CA">
        <w:rPr>
          <w:rFonts w:ascii="Arial" w:hAnsi="Arial" w:cs="Arial"/>
          <w:b/>
          <w:sz w:val="20"/>
          <w:szCs w:val="20"/>
        </w:rPr>
        <w:tab/>
      </w:r>
      <w:r w:rsidR="009428CA">
        <w:rPr>
          <w:rFonts w:ascii="Arial" w:hAnsi="Arial" w:cs="Arial"/>
          <w:b/>
          <w:sz w:val="20"/>
          <w:szCs w:val="20"/>
        </w:rPr>
        <w:tab/>
      </w:r>
      <w:r w:rsidR="009428CA">
        <w:rPr>
          <w:rFonts w:ascii="Arial" w:hAnsi="Arial" w:cs="Arial"/>
          <w:b/>
          <w:sz w:val="20"/>
          <w:szCs w:val="20"/>
        </w:rPr>
        <w:tab/>
      </w:r>
      <w:r w:rsidR="009428CA">
        <w:rPr>
          <w:rFonts w:ascii="Arial" w:hAnsi="Arial" w:cs="Arial"/>
          <w:b/>
          <w:sz w:val="20"/>
          <w:szCs w:val="20"/>
        </w:rPr>
        <w:tab/>
      </w:r>
      <w:r w:rsidR="009428CA">
        <w:rPr>
          <w:rFonts w:ascii="Arial" w:hAnsi="Arial" w:cs="Arial"/>
          <w:b/>
          <w:sz w:val="20"/>
          <w:szCs w:val="20"/>
        </w:rPr>
        <w:tab/>
      </w:r>
    </w:p>
    <w:p w14:paraId="71FC3C54" w14:textId="65B129F6" w:rsidR="00EB15CA" w:rsidRPr="00EB15CA" w:rsidRDefault="00D64B26" w:rsidP="002C5E5F">
      <w:pPr>
        <w:pStyle w:val="BodyText"/>
        <w:kinsoku w:val="0"/>
        <w:overflowPunct w:val="0"/>
        <w:ind w:left="39" w:right="225" w:firstLine="0"/>
        <w:jc w:val="right"/>
        <w:rPr>
          <w:rFonts w:ascii="Arial" w:hAnsi="Arial" w:cs="Arial"/>
          <w:sz w:val="16"/>
          <w:szCs w:val="16"/>
        </w:rPr>
      </w:pPr>
      <w:r>
        <w:rPr>
          <w:rFonts w:ascii="Arial" w:hAnsi="Arial" w:cs="Arial"/>
          <w:b/>
          <w:sz w:val="16"/>
          <w:szCs w:val="16"/>
        </w:rPr>
        <w:t>7</w:t>
      </w:r>
      <w:bookmarkStart w:id="0" w:name="_GoBack"/>
      <w:bookmarkEnd w:id="0"/>
      <w:r w:rsidR="009428CA" w:rsidRPr="009428CA">
        <w:rPr>
          <w:rFonts w:ascii="Arial" w:hAnsi="Arial" w:cs="Arial"/>
          <w:b/>
          <w:sz w:val="16"/>
          <w:szCs w:val="16"/>
        </w:rPr>
        <w:t>/2019</w:t>
      </w:r>
    </w:p>
    <w:sectPr w:rsidR="00EB15CA" w:rsidRPr="00EB15CA" w:rsidSect="00B33081">
      <w:headerReference w:type="default" r:id="rId11"/>
      <w:footerReference w:type="default" r:id="rId12"/>
      <w:footerReference w:type="first" r:id="rId13"/>
      <w:pgSz w:w="12240" w:h="15840" w:code="1"/>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2797" w14:textId="77777777" w:rsidR="00147FD9" w:rsidRDefault="00147FD9" w:rsidP="00DF111F">
      <w:r>
        <w:separator/>
      </w:r>
    </w:p>
  </w:endnote>
  <w:endnote w:type="continuationSeparator" w:id="0">
    <w:p w14:paraId="720E8855" w14:textId="77777777" w:rsidR="00147FD9" w:rsidRDefault="00147FD9" w:rsidP="00DF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EDE6" w14:textId="77777777" w:rsidR="008E6174" w:rsidRDefault="001A4D8E" w:rsidP="00DF111F">
    <w:pPr>
      <w:pStyle w:val="Footer"/>
    </w:pPr>
    <w:r>
      <w:rPr>
        <w:noProof/>
      </w:rPr>
      <w:drawing>
        <wp:anchor distT="0" distB="0" distL="114300" distR="114300" simplePos="0" relativeHeight="251657728" behindDoc="1" locked="0" layoutInCell="1" allowOverlap="1" wp14:anchorId="30DFDDC6" wp14:editId="174BAFC0">
          <wp:simplePos x="0" y="0"/>
          <wp:positionH relativeFrom="margin">
            <wp:posOffset>-447675</wp:posOffset>
          </wp:positionH>
          <wp:positionV relativeFrom="paragraph">
            <wp:posOffset>-492760</wp:posOffset>
          </wp:positionV>
          <wp:extent cx="7780728" cy="109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fa-footer-left.jpg"/>
                  <pic:cNvPicPr/>
                </pic:nvPicPr>
                <pic:blipFill>
                  <a:blip r:embed="rId1">
                    <a:extLst>
                      <a:ext uri="{28A0092B-C50C-407E-A947-70E740481C1C}">
                        <a14:useLocalDpi xmlns:a14="http://schemas.microsoft.com/office/drawing/2010/main" val="0"/>
                      </a:ext>
                    </a:extLst>
                  </a:blip>
                  <a:stretch>
                    <a:fillRect/>
                  </a:stretch>
                </pic:blipFill>
                <pic:spPr>
                  <a:xfrm>
                    <a:off x="0" y="0"/>
                    <a:ext cx="7780728" cy="10953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69D3" w14:textId="77777777" w:rsidR="008E6174" w:rsidRDefault="008E6174" w:rsidP="00DF111F">
    <w:pPr>
      <w:pStyle w:val="Footer"/>
    </w:pPr>
    <w:r>
      <w:rPr>
        <w:noProof/>
      </w:rPr>
      <w:drawing>
        <wp:anchor distT="0" distB="0" distL="114300" distR="114300" simplePos="0" relativeHeight="251656704" behindDoc="1" locked="0" layoutInCell="1" allowOverlap="1" wp14:anchorId="4DA222C7" wp14:editId="601D17D0">
          <wp:simplePos x="0" y="0"/>
          <wp:positionH relativeFrom="margin">
            <wp:posOffset>-1110615</wp:posOffset>
          </wp:positionH>
          <wp:positionV relativeFrom="page">
            <wp:posOffset>9494520</wp:posOffset>
          </wp:positionV>
          <wp:extent cx="8165592" cy="859536"/>
          <wp:effectExtent l="0" t="0" r="0" b="0"/>
          <wp:wrapTight wrapText="bothSides">
            <wp:wrapPolygon edited="0">
              <wp:start x="0" y="0"/>
              <wp:lineTo x="0" y="21073"/>
              <wp:lineTo x="21518" y="21073"/>
              <wp:lineTo x="21518"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5592" cy="8595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EBDA" w14:textId="77777777" w:rsidR="00147FD9" w:rsidRDefault="00147FD9" w:rsidP="00DF111F">
      <w:r>
        <w:separator/>
      </w:r>
    </w:p>
  </w:footnote>
  <w:footnote w:type="continuationSeparator" w:id="0">
    <w:p w14:paraId="01C934DC" w14:textId="77777777" w:rsidR="00147FD9" w:rsidRDefault="00147FD9" w:rsidP="00DF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6236" w14:textId="57933DC4" w:rsidR="00357844" w:rsidRDefault="00357844" w:rsidP="00DF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468" w:hanging="361"/>
      </w:pPr>
      <w:rPr>
        <w:rFonts w:ascii="Calibri" w:hAnsi="Calibri" w:cs="Calibri"/>
        <w:b/>
        <w:bCs/>
        <w:w w:val="100"/>
        <w:sz w:val="22"/>
        <w:szCs w:val="22"/>
      </w:rPr>
    </w:lvl>
    <w:lvl w:ilvl="1">
      <w:start w:val="1"/>
      <w:numFmt w:val="decimal"/>
      <w:lvlText w:val="%2."/>
      <w:lvlJc w:val="left"/>
      <w:pPr>
        <w:ind w:left="810" w:hanging="360"/>
      </w:pPr>
      <w:rPr>
        <w:rFonts w:ascii="Calibri" w:hAnsi="Calibri" w:cs="Calibri"/>
        <w:b w:val="0"/>
        <w:bCs w:val="0"/>
        <w:w w:val="100"/>
        <w:sz w:val="22"/>
        <w:szCs w:val="22"/>
      </w:rPr>
    </w:lvl>
    <w:lvl w:ilvl="2">
      <w:numFmt w:val="bullet"/>
      <w:lvlText w:val="•"/>
      <w:lvlJc w:val="left"/>
      <w:pPr>
        <w:ind w:left="1886" w:hanging="360"/>
      </w:pPr>
    </w:lvl>
    <w:lvl w:ilvl="3">
      <w:numFmt w:val="bullet"/>
      <w:lvlText w:val="•"/>
      <w:lvlJc w:val="left"/>
      <w:pPr>
        <w:ind w:left="2953" w:hanging="360"/>
      </w:pPr>
    </w:lvl>
    <w:lvl w:ilvl="4">
      <w:numFmt w:val="bullet"/>
      <w:lvlText w:val="•"/>
      <w:lvlJc w:val="left"/>
      <w:pPr>
        <w:ind w:left="4020" w:hanging="360"/>
      </w:pPr>
    </w:lvl>
    <w:lvl w:ilvl="5">
      <w:numFmt w:val="bullet"/>
      <w:lvlText w:val="•"/>
      <w:lvlJc w:val="left"/>
      <w:pPr>
        <w:ind w:left="5086" w:hanging="360"/>
      </w:pPr>
    </w:lvl>
    <w:lvl w:ilvl="6">
      <w:numFmt w:val="bullet"/>
      <w:lvlText w:val="•"/>
      <w:lvlJc w:val="left"/>
      <w:pPr>
        <w:ind w:left="6153" w:hanging="360"/>
      </w:pPr>
    </w:lvl>
    <w:lvl w:ilvl="7">
      <w:numFmt w:val="bullet"/>
      <w:lvlText w:val="•"/>
      <w:lvlJc w:val="left"/>
      <w:pPr>
        <w:ind w:left="7220" w:hanging="360"/>
      </w:pPr>
    </w:lvl>
    <w:lvl w:ilvl="8">
      <w:numFmt w:val="bullet"/>
      <w:lvlText w:val="•"/>
      <w:lvlJc w:val="left"/>
      <w:pPr>
        <w:ind w:left="8286" w:hanging="360"/>
      </w:pPr>
    </w:lvl>
  </w:abstractNum>
  <w:abstractNum w:abstractNumId="1" w15:restartNumberingAfterBreak="0">
    <w:nsid w:val="00000403"/>
    <w:multiLevelType w:val="multilevel"/>
    <w:tmpl w:val="00000886"/>
    <w:lvl w:ilvl="0">
      <w:start w:val="3"/>
      <w:numFmt w:val="upperLetter"/>
      <w:lvlText w:val="%1."/>
      <w:lvlJc w:val="left"/>
      <w:pPr>
        <w:ind w:left="468" w:hanging="361"/>
      </w:pPr>
      <w:rPr>
        <w:rFonts w:ascii="Calibri" w:hAnsi="Calibri" w:cs="Calibri"/>
        <w:b/>
        <w:bCs/>
        <w:w w:val="100"/>
        <w:sz w:val="22"/>
        <w:szCs w:val="22"/>
      </w:rPr>
    </w:lvl>
    <w:lvl w:ilvl="1">
      <w:start w:val="1"/>
      <w:numFmt w:val="decimal"/>
      <w:lvlText w:val="%2."/>
      <w:lvlJc w:val="left"/>
      <w:pPr>
        <w:ind w:left="828" w:hanging="360"/>
      </w:pPr>
      <w:rPr>
        <w:rFonts w:ascii="Calibri" w:hAnsi="Calibri" w:cs="Calibri"/>
        <w:b w:val="0"/>
        <w:bCs w:val="0"/>
        <w:w w:val="100"/>
        <w:sz w:val="22"/>
        <w:szCs w:val="22"/>
      </w:rPr>
    </w:lvl>
    <w:lvl w:ilvl="2">
      <w:numFmt w:val="bullet"/>
      <w:lvlText w:val="•"/>
      <w:lvlJc w:val="left"/>
      <w:pPr>
        <w:ind w:left="1884" w:hanging="360"/>
      </w:pPr>
    </w:lvl>
    <w:lvl w:ilvl="3">
      <w:numFmt w:val="bullet"/>
      <w:lvlText w:val="•"/>
      <w:lvlJc w:val="left"/>
      <w:pPr>
        <w:ind w:left="2948" w:hanging="360"/>
      </w:pPr>
    </w:lvl>
    <w:lvl w:ilvl="4">
      <w:numFmt w:val="bullet"/>
      <w:lvlText w:val="•"/>
      <w:lvlJc w:val="left"/>
      <w:pPr>
        <w:ind w:left="4013" w:hanging="360"/>
      </w:pPr>
    </w:lvl>
    <w:lvl w:ilvl="5">
      <w:numFmt w:val="bullet"/>
      <w:lvlText w:val="•"/>
      <w:lvlJc w:val="left"/>
      <w:pPr>
        <w:ind w:left="5077" w:hanging="360"/>
      </w:pPr>
    </w:lvl>
    <w:lvl w:ilvl="6">
      <w:numFmt w:val="bullet"/>
      <w:lvlText w:val="•"/>
      <w:lvlJc w:val="left"/>
      <w:pPr>
        <w:ind w:left="6142" w:hanging="360"/>
      </w:pPr>
    </w:lvl>
    <w:lvl w:ilvl="7">
      <w:numFmt w:val="bullet"/>
      <w:lvlText w:val="•"/>
      <w:lvlJc w:val="left"/>
      <w:pPr>
        <w:ind w:left="7206" w:hanging="360"/>
      </w:pPr>
    </w:lvl>
    <w:lvl w:ilvl="8">
      <w:numFmt w:val="bullet"/>
      <w:lvlText w:val="•"/>
      <w:lvlJc w:val="left"/>
      <w:pPr>
        <w:ind w:left="8271" w:hanging="360"/>
      </w:pPr>
    </w:lvl>
  </w:abstractNum>
  <w:abstractNum w:abstractNumId="2" w15:restartNumberingAfterBreak="0">
    <w:nsid w:val="00000404"/>
    <w:multiLevelType w:val="multilevel"/>
    <w:tmpl w:val="00000887"/>
    <w:lvl w:ilvl="0">
      <w:start w:val="3"/>
      <w:numFmt w:val="decimal"/>
      <w:lvlText w:val="%1."/>
      <w:lvlJc w:val="left"/>
      <w:pPr>
        <w:ind w:left="828" w:hanging="360"/>
      </w:pPr>
      <w:rPr>
        <w:rFonts w:ascii="Calibri" w:hAnsi="Calibri" w:cs="Calibri"/>
        <w:b w:val="0"/>
        <w:bCs w:val="0"/>
        <w:w w:val="100"/>
        <w:sz w:val="22"/>
        <w:szCs w:val="22"/>
      </w:rPr>
    </w:lvl>
    <w:lvl w:ilvl="1">
      <w:numFmt w:val="bullet"/>
      <w:lvlText w:val="•"/>
      <w:lvlJc w:val="left"/>
      <w:pPr>
        <w:ind w:left="1778" w:hanging="360"/>
      </w:pPr>
    </w:lvl>
    <w:lvl w:ilvl="2">
      <w:numFmt w:val="bullet"/>
      <w:lvlText w:val="•"/>
      <w:lvlJc w:val="left"/>
      <w:pPr>
        <w:ind w:left="2736" w:hanging="360"/>
      </w:pPr>
    </w:lvl>
    <w:lvl w:ilvl="3">
      <w:numFmt w:val="bullet"/>
      <w:lvlText w:val="•"/>
      <w:lvlJc w:val="left"/>
      <w:pPr>
        <w:ind w:left="3694" w:hanging="360"/>
      </w:pPr>
    </w:lvl>
    <w:lvl w:ilvl="4">
      <w:numFmt w:val="bullet"/>
      <w:lvlText w:val="•"/>
      <w:lvlJc w:val="left"/>
      <w:pPr>
        <w:ind w:left="4652" w:hanging="360"/>
      </w:pPr>
    </w:lvl>
    <w:lvl w:ilvl="5">
      <w:numFmt w:val="bullet"/>
      <w:lvlText w:val="•"/>
      <w:lvlJc w:val="left"/>
      <w:pPr>
        <w:ind w:left="5610" w:hanging="360"/>
      </w:pPr>
    </w:lvl>
    <w:lvl w:ilvl="6">
      <w:numFmt w:val="bullet"/>
      <w:lvlText w:val="•"/>
      <w:lvlJc w:val="left"/>
      <w:pPr>
        <w:ind w:left="6568" w:hanging="360"/>
      </w:pPr>
    </w:lvl>
    <w:lvl w:ilvl="7">
      <w:numFmt w:val="bullet"/>
      <w:lvlText w:val="•"/>
      <w:lvlJc w:val="left"/>
      <w:pPr>
        <w:ind w:left="7526" w:hanging="360"/>
      </w:pPr>
    </w:lvl>
    <w:lvl w:ilvl="8">
      <w:numFmt w:val="bullet"/>
      <w:lvlText w:val="•"/>
      <w:lvlJc w:val="left"/>
      <w:pPr>
        <w:ind w:left="8484" w:hanging="360"/>
      </w:pPr>
    </w:lvl>
  </w:abstractNum>
  <w:abstractNum w:abstractNumId="3" w15:restartNumberingAfterBreak="0">
    <w:nsid w:val="00000405"/>
    <w:multiLevelType w:val="multilevel"/>
    <w:tmpl w:val="00000888"/>
    <w:lvl w:ilvl="0">
      <w:start w:val="4"/>
      <w:numFmt w:val="upperLetter"/>
      <w:lvlText w:val="%1."/>
      <w:lvlJc w:val="left"/>
      <w:pPr>
        <w:ind w:left="468" w:hanging="361"/>
      </w:pPr>
      <w:rPr>
        <w:rFonts w:ascii="Calibri" w:hAnsi="Calibri" w:cs="Calibri"/>
        <w:b/>
        <w:bCs/>
        <w:w w:val="100"/>
        <w:sz w:val="22"/>
        <w:szCs w:val="22"/>
      </w:rPr>
    </w:lvl>
    <w:lvl w:ilvl="1">
      <w:start w:val="1"/>
      <w:numFmt w:val="decimal"/>
      <w:lvlText w:val="%2."/>
      <w:lvlJc w:val="left"/>
      <w:pPr>
        <w:ind w:left="828" w:hanging="360"/>
      </w:pPr>
      <w:rPr>
        <w:rFonts w:ascii="Calibri" w:hAnsi="Calibri" w:cs="Calibri"/>
        <w:b w:val="0"/>
        <w:bCs w:val="0"/>
        <w:w w:val="100"/>
        <w:sz w:val="22"/>
        <w:szCs w:val="22"/>
      </w:rPr>
    </w:lvl>
    <w:lvl w:ilvl="2">
      <w:numFmt w:val="bullet"/>
      <w:lvlText w:val="•"/>
      <w:lvlJc w:val="left"/>
      <w:pPr>
        <w:ind w:left="1884" w:hanging="360"/>
      </w:pPr>
    </w:lvl>
    <w:lvl w:ilvl="3">
      <w:numFmt w:val="bullet"/>
      <w:lvlText w:val="•"/>
      <w:lvlJc w:val="left"/>
      <w:pPr>
        <w:ind w:left="2948" w:hanging="360"/>
      </w:pPr>
    </w:lvl>
    <w:lvl w:ilvl="4">
      <w:numFmt w:val="bullet"/>
      <w:lvlText w:val="•"/>
      <w:lvlJc w:val="left"/>
      <w:pPr>
        <w:ind w:left="4013" w:hanging="360"/>
      </w:pPr>
    </w:lvl>
    <w:lvl w:ilvl="5">
      <w:numFmt w:val="bullet"/>
      <w:lvlText w:val="•"/>
      <w:lvlJc w:val="left"/>
      <w:pPr>
        <w:ind w:left="5077" w:hanging="360"/>
      </w:pPr>
    </w:lvl>
    <w:lvl w:ilvl="6">
      <w:numFmt w:val="bullet"/>
      <w:lvlText w:val="•"/>
      <w:lvlJc w:val="left"/>
      <w:pPr>
        <w:ind w:left="6142" w:hanging="360"/>
      </w:pPr>
    </w:lvl>
    <w:lvl w:ilvl="7">
      <w:numFmt w:val="bullet"/>
      <w:lvlText w:val="•"/>
      <w:lvlJc w:val="left"/>
      <w:pPr>
        <w:ind w:left="7206" w:hanging="360"/>
      </w:pPr>
    </w:lvl>
    <w:lvl w:ilvl="8">
      <w:numFmt w:val="bullet"/>
      <w:lvlText w:val="•"/>
      <w:lvlJc w:val="left"/>
      <w:pPr>
        <w:ind w:left="8271" w:hanging="360"/>
      </w:pPr>
    </w:lvl>
  </w:abstractNum>
  <w:abstractNum w:abstractNumId="4" w15:restartNumberingAfterBreak="0">
    <w:nsid w:val="254D4437"/>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2E825F4"/>
    <w:multiLevelType w:val="hybridMultilevel"/>
    <w:tmpl w:val="8FBEF2DC"/>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CC91BB5"/>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B34248F"/>
    <w:multiLevelType w:val="hybridMultilevel"/>
    <w:tmpl w:val="DBAE6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403579"/>
    <w:multiLevelType w:val="hybridMultilevel"/>
    <w:tmpl w:val="689A7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D628F0"/>
    <w:multiLevelType w:val="hybridMultilevel"/>
    <w:tmpl w:val="6A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0"/>
  </w:num>
  <w:num w:numId="6">
    <w:abstractNumId w:val="3"/>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5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D9"/>
    <w:rsid w:val="00011828"/>
    <w:rsid w:val="00053394"/>
    <w:rsid w:val="00091003"/>
    <w:rsid w:val="000F0E19"/>
    <w:rsid w:val="001334BB"/>
    <w:rsid w:val="00147FD9"/>
    <w:rsid w:val="001A4D8E"/>
    <w:rsid w:val="001B40F3"/>
    <w:rsid w:val="001C59C0"/>
    <w:rsid w:val="001C626E"/>
    <w:rsid w:val="001E4B27"/>
    <w:rsid w:val="00220AC9"/>
    <w:rsid w:val="00221B4C"/>
    <w:rsid w:val="00225651"/>
    <w:rsid w:val="00286F2B"/>
    <w:rsid w:val="002B7DE7"/>
    <w:rsid w:val="002C5E5F"/>
    <w:rsid w:val="00352ED8"/>
    <w:rsid w:val="003559F7"/>
    <w:rsid w:val="00357844"/>
    <w:rsid w:val="00392877"/>
    <w:rsid w:val="003B0FF1"/>
    <w:rsid w:val="00426CFE"/>
    <w:rsid w:val="00456D62"/>
    <w:rsid w:val="00462D19"/>
    <w:rsid w:val="004A2B32"/>
    <w:rsid w:val="004B03CD"/>
    <w:rsid w:val="004C4C44"/>
    <w:rsid w:val="004D1A35"/>
    <w:rsid w:val="004D21EB"/>
    <w:rsid w:val="00500C7E"/>
    <w:rsid w:val="0050310F"/>
    <w:rsid w:val="00585D92"/>
    <w:rsid w:val="006054CF"/>
    <w:rsid w:val="00631956"/>
    <w:rsid w:val="006527DC"/>
    <w:rsid w:val="006A027C"/>
    <w:rsid w:val="006E5B2D"/>
    <w:rsid w:val="0070330D"/>
    <w:rsid w:val="007041AF"/>
    <w:rsid w:val="00741D68"/>
    <w:rsid w:val="0076539D"/>
    <w:rsid w:val="00771EB0"/>
    <w:rsid w:val="00796730"/>
    <w:rsid w:val="007A014E"/>
    <w:rsid w:val="007C1A29"/>
    <w:rsid w:val="0089198C"/>
    <w:rsid w:val="008B07A0"/>
    <w:rsid w:val="008B2A24"/>
    <w:rsid w:val="008C7125"/>
    <w:rsid w:val="008E6174"/>
    <w:rsid w:val="009428CA"/>
    <w:rsid w:val="00944DAE"/>
    <w:rsid w:val="0095295C"/>
    <w:rsid w:val="009641FB"/>
    <w:rsid w:val="00980884"/>
    <w:rsid w:val="009A1239"/>
    <w:rsid w:val="009A2C4E"/>
    <w:rsid w:val="009A53C2"/>
    <w:rsid w:val="009E1910"/>
    <w:rsid w:val="009F02A9"/>
    <w:rsid w:val="00A261BF"/>
    <w:rsid w:val="00A35289"/>
    <w:rsid w:val="00A64E2C"/>
    <w:rsid w:val="00A67E72"/>
    <w:rsid w:val="00AF020A"/>
    <w:rsid w:val="00B33081"/>
    <w:rsid w:val="00B53701"/>
    <w:rsid w:val="00B63A23"/>
    <w:rsid w:val="00BC3D08"/>
    <w:rsid w:val="00BE1B70"/>
    <w:rsid w:val="00C07017"/>
    <w:rsid w:val="00C07BB7"/>
    <w:rsid w:val="00C571F1"/>
    <w:rsid w:val="00C94EC0"/>
    <w:rsid w:val="00C96213"/>
    <w:rsid w:val="00CB5EB0"/>
    <w:rsid w:val="00D261B2"/>
    <w:rsid w:val="00D4000F"/>
    <w:rsid w:val="00D512F0"/>
    <w:rsid w:val="00D64B26"/>
    <w:rsid w:val="00D76FAB"/>
    <w:rsid w:val="00DE779E"/>
    <w:rsid w:val="00DF111F"/>
    <w:rsid w:val="00DF1A83"/>
    <w:rsid w:val="00E50980"/>
    <w:rsid w:val="00E754F6"/>
    <w:rsid w:val="00EB15CA"/>
    <w:rsid w:val="00ED1ED8"/>
    <w:rsid w:val="00EE705A"/>
    <w:rsid w:val="00F0682D"/>
    <w:rsid w:val="00F12644"/>
    <w:rsid w:val="00F20E76"/>
    <w:rsid w:val="00F37BEA"/>
    <w:rsid w:val="00F43068"/>
    <w:rsid w:val="00F64644"/>
    <w:rsid w:val="00F70409"/>
    <w:rsid w:val="00F76DE2"/>
    <w:rsid w:val="00F84F39"/>
    <w:rsid w:val="00FA78BA"/>
    <w:rsid w:val="00FC3870"/>
    <w:rsid w:val="00FC70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06D15C5"/>
  <w15:docId w15:val="{4EA03213-4D4C-4614-85A4-9E5A6055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1F"/>
    <w:pPr>
      <w:tabs>
        <w:tab w:val="left" w:pos="2428"/>
      </w:tabs>
    </w:pPr>
    <w:rPr>
      <w:rFonts w:asciiTheme="minorBidi" w:hAnsiTheme="minorBidi"/>
      <w:sz w:val="24"/>
      <w:szCs w:val="24"/>
    </w:rPr>
  </w:style>
  <w:style w:type="paragraph" w:styleId="Heading1">
    <w:name w:val="heading 1"/>
    <w:basedOn w:val="Normal"/>
    <w:next w:val="Normal"/>
    <w:link w:val="Heading1Char"/>
    <w:autoRedefine/>
    <w:uiPriority w:val="1"/>
    <w:qFormat/>
    <w:rsid w:val="00DF111F"/>
    <w:pPr>
      <w:keepNext/>
      <w:keepLines/>
      <w:spacing w:before="120" w:after="240"/>
      <w:outlineLvl w:val="0"/>
    </w:pPr>
    <w:rPr>
      <w:rFonts w:eastAsiaTheme="majorEastAsia" w:cstheme="majorBidi"/>
      <w:b/>
      <w:bCs/>
      <w:color w:val="439539"/>
      <w:sz w:val="32"/>
      <w:szCs w:val="32"/>
    </w:rPr>
  </w:style>
  <w:style w:type="paragraph" w:styleId="Heading2">
    <w:name w:val="heading 2"/>
    <w:basedOn w:val="Normal"/>
    <w:next w:val="Normal"/>
    <w:link w:val="Heading2Char"/>
    <w:autoRedefine/>
    <w:uiPriority w:val="9"/>
    <w:unhideWhenUsed/>
    <w:qFormat/>
    <w:rsid w:val="00DF111F"/>
    <w:pPr>
      <w:keepNext/>
      <w:keepLines/>
      <w:spacing w:before="120" w:after="240"/>
      <w:outlineLvl w:val="1"/>
    </w:pPr>
    <w:rPr>
      <w:rFonts w:eastAsiaTheme="majorEastAsia" w:cstheme="majorBidi"/>
      <w:b/>
      <w:bCs/>
      <w:color w:val="439539"/>
      <w:sz w:val="28"/>
      <w:szCs w:val="28"/>
    </w:rPr>
  </w:style>
  <w:style w:type="paragraph" w:styleId="Heading3">
    <w:name w:val="heading 3"/>
    <w:basedOn w:val="Normal"/>
    <w:next w:val="Normal"/>
    <w:link w:val="Heading3Char"/>
    <w:autoRedefine/>
    <w:uiPriority w:val="9"/>
    <w:unhideWhenUsed/>
    <w:qFormat/>
    <w:rsid w:val="00DF111F"/>
    <w:pPr>
      <w:keepNext/>
      <w:keepLines/>
      <w:spacing w:before="120" w:after="240"/>
      <w:outlineLvl w:val="2"/>
    </w:pPr>
    <w:rPr>
      <w:rFonts w:ascii="Helvetica-Narrow" w:eastAsiaTheme="majorEastAsia" w:hAnsi="Helvetica-Narrow" w:cstheme="majorBidi"/>
      <w:b/>
      <w:bCs/>
      <w:color w:val="439539"/>
      <w:sz w:val="26"/>
      <w:szCs w:val="26"/>
    </w:rPr>
  </w:style>
  <w:style w:type="paragraph" w:styleId="Heading4">
    <w:name w:val="heading 4"/>
    <w:basedOn w:val="Normal"/>
    <w:next w:val="Normal"/>
    <w:link w:val="Heading4Char"/>
    <w:uiPriority w:val="9"/>
    <w:unhideWhenUsed/>
    <w:qFormat/>
    <w:rsid w:val="00DF111F"/>
    <w:pPr>
      <w:keepNext/>
      <w:keepLines/>
      <w:spacing w:before="120" w:after="0"/>
      <w:outlineLvl w:val="3"/>
    </w:pPr>
    <w:rPr>
      <w:rFonts w:ascii="Helvetica-Narrow" w:eastAsiaTheme="majorEastAsia" w:hAnsi="Helvetica-Narrow" w:cstheme="majorBidi"/>
      <w:b/>
      <w:bCs/>
      <w:i/>
      <w:iCs/>
      <w:color w:val="439539"/>
      <w:sz w:val="26"/>
      <w:szCs w:val="26"/>
    </w:rPr>
  </w:style>
  <w:style w:type="paragraph" w:styleId="Heading5">
    <w:name w:val="heading 5"/>
    <w:basedOn w:val="Heading4"/>
    <w:next w:val="Normal"/>
    <w:link w:val="Heading5Char"/>
    <w:uiPriority w:val="9"/>
    <w:unhideWhenUsed/>
    <w:qFormat/>
    <w:rsid w:val="00DF111F"/>
    <w:pPr>
      <w:outlineLvl w:val="4"/>
    </w:pPr>
    <w:rPr>
      <w:b w:val="0"/>
      <w:bCs w:val="0"/>
      <w:sz w:val="24"/>
      <w:szCs w:val="24"/>
    </w:rPr>
  </w:style>
  <w:style w:type="paragraph" w:styleId="Heading6">
    <w:name w:val="heading 6"/>
    <w:basedOn w:val="Heading5"/>
    <w:next w:val="Normal"/>
    <w:link w:val="Heading6Char"/>
    <w:uiPriority w:val="9"/>
    <w:unhideWhenUsed/>
    <w:qFormat/>
    <w:rsid w:val="00DF111F"/>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AE"/>
    <w:rPr>
      <w:rFonts w:ascii="Tahoma" w:hAnsi="Tahoma" w:cs="Tahoma"/>
      <w:sz w:val="16"/>
      <w:szCs w:val="16"/>
    </w:rPr>
  </w:style>
  <w:style w:type="paragraph" w:styleId="Header">
    <w:name w:val="header"/>
    <w:basedOn w:val="Normal"/>
    <w:link w:val="HeaderChar"/>
    <w:uiPriority w:val="99"/>
    <w:unhideWhenUsed/>
    <w:rsid w:val="00944DAE"/>
    <w:pPr>
      <w:tabs>
        <w:tab w:val="center" w:pos="4680"/>
        <w:tab w:val="right" w:pos="9360"/>
      </w:tabs>
      <w:spacing w:after="0"/>
    </w:pPr>
  </w:style>
  <w:style w:type="character" w:customStyle="1" w:styleId="HeaderChar">
    <w:name w:val="Header Char"/>
    <w:basedOn w:val="DefaultParagraphFont"/>
    <w:link w:val="Header"/>
    <w:uiPriority w:val="99"/>
    <w:rsid w:val="00944DAE"/>
  </w:style>
  <w:style w:type="paragraph" w:styleId="Footer">
    <w:name w:val="footer"/>
    <w:basedOn w:val="Normal"/>
    <w:link w:val="FooterChar"/>
    <w:uiPriority w:val="99"/>
    <w:unhideWhenUsed/>
    <w:rsid w:val="00944DAE"/>
    <w:pPr>
      <w:tabs>
        <w:tab w:val="center" w:pos="4680"/>
        <w:tab w:val="right" w:pos="9360"/>
      </w:tabs>
      <w:spacing w:after="0"/>
    </w:pPr>
  </w:style>
  <w:style w:type="character" w:customStyle="1" w:styleId="FooterChar">
    <w:name w:val="Footer Char"/>
    <w:basedOn w:val="DefaultParagraphFont"/>
    <w:link w:val="Footer"/>
    <w:uiPriority w:val="99"/>
    <w:rsid w:val="00944DAE"/>
  </w:style>
  <w:style w:type="character" w:customStyle="1" w:styleId="Heading1Char">
    <w:name w:val="Heading 1 Char"/>
    <w:basedOn w:val="DefaultParagraphFont"/>
    <w:link w:val="Heading1"/>
    <w:uiPriority w:val="1"/>
    <w:rsid w:val="00DF111F"/>
    <w:rPr>
      <w:rFonts w:asciiTheme="minorBidi" w:eastAsiaTheme="majorEastAsia" w:hAnsiTheme="minorBidi" w:cstheme="majorBidi"/>
      <w:b/>
      <w:bCs/>
      <w:color w:val="439539"/>
      <w:sz w:val="32"/>
      <w:szCs w:val="32"/>
    </w:rPr>
  </w:style>
  <w:style w:type="character" w:customStyle="1" w:styleId="Heading2Char">
    <w:name w:val="Heading 2 Char"/>
    <w:basedOn w:val="DefaultParagraphFont"/>
    <w:link w:val="Heading2"/>
    <w:uiPriority w:val="9"/>
    <w:rsid w:val="00DF111F"/>
    <w:rPr>
      <w:rFonts w:asciiTheme="minorBidi" w:eastAsiaTheme="majorEastAsia" w:hAnsiTheme="minorBidi" w:cstheme="majorBidi"/>
      <w:b/>
      <w:bCs/>
      <w:color w:val="439539"/>
      <w:sz w:val="28"/>
      <w:szCs w:val="28"/>
    </w:rPr>
  </w:style>
  <w:style w:type="character" w:styleId="Hyperlink">
    <w:name w:val="Hyperlink"/>
    <w:basedOn w:val="DefaultParagraphFont"/>
    <w:uiPriority w:val="99"/>
    <w:unhideWhenUsed/>
    <w:rsid w:val="00980884"/>
    <w:rPr>
      <w:color w:val="0000FF" w:themeColor="hyperlink"/>
      <w:u w:val="single"/>
    </w:rPr>
  </w:style>
  <w:style w:type="paragraph" w:styleId="NormalWeb">
    <w:name w:val="Normal (Web)"/>
    <w:basedOn w:val="Normal"/>
    <w:uiPriority w:val="99"/>
    <w:unhideWhenUsed/>
    <w:rsid w:val="009808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0884"/>
  </w:style>
  <w:style w:type="paragraph" w:styleId="ListParagraph">
    <w:name w:val="List Paragraph"/>
    <w:basedOn w:val="Normal"/>
    <w:uiPriority w:val="1"/>
    <w:qFormat/>
    <w:rsid w:val="00980884"/>
    <w:pPr>
      <w:spacing w:after="0"/>
      <w:ind w:left="720"/>
      <w:contextualSpacing/>
    </w:pPr>
  </w:style>
  <w:style w:type="table" w:styleId="MediumShading1-Accent3">
    <w:name w:val="Medium Shading 1 Accent 3"/>
    <w:basedOn w:val="TableNormal"/>
    <w:uiPriority w:val="63"/>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80884"/>
    <w:pPr>
      <w:spacing w:after="0"/>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980884"/>
    <w:pPr>
      <w:spacing w:after="0"/>
    </w:pPr>
    <w:rPr>
      <w:sz w:val="20"/>
      <w:szCs w:val="20"/>
    </w:rPr>
  </w:style>
  <w:style w:type="character" w:customStyle="1" w:styleId="FootnoteTextChar">
    <w:name w:val="Footnote Text Char"/>
    <w:basedOn w:val="DefaultParagraphFont"/>
    <w:link w:val="FootnoteText"/>
    <w:uiPriority w:val="99"/>
    <w:semiHidden/>
    <w:rsid w:val="00980884"/>
    <w:rPr>
      <w:sz w:val="20"/>
      <w:szCs w:val="20"/>
    </w:rPr>
  </w:style>
  <w:style w:type="character" w:styleId="FootnoteReference">
    <w:name w:val="footnote reference"/>
    <w:basedOn w:val="DefaultParagraphFont"/>
    <w:uiPriority w:val="99"/>
    <w:semiHidden/>
    <w:unhideWhenUsed/>
    <w:rsid w:val="00980884"/>
    <w:rPr>
      <w:vertAlign w:val="superscript"/>
    </w:rPr>
  </w:style>
  <w:style w:type="table" w:styleId="MediumGrid1-Accent3">
    <w:name w:val="Medium Grid 1 Accent 3"/>
    <w:basedOn w:val="TableNormal"/>
    <w:uiPriority w:val="67"/>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uiPriority w:val="9"/>
    <w:rsid w:val="00DF111F"/>
    <w:rPr>
      <w:rFonts w:ascii="Helvetica-Narrow" w:eastAsiaTheme="majorEastAsia" w:hAnsi="Helvetica-Narrow" w:cstheme="majorBidi"/>
      <w:b/>
      <w:bCs/>
      <w:color w:val="439539"/>
      <w:sz w:val="26"/>
      <w:szCs w:val="26"/>
    </w:rPr>
  </w:style>
  <w:style w:type="character" w:customStyle="1" w:styleId="Heading4Char">
    <w:name w:val="Heading 4 Char"/>
    <w:basedOn w:val="DefaultParagraphFont"/>
    <w:link w:val="Heading4"/>
    <w:uiPriority w:val="9"/>
    <w:rsid w:val="00DF111F"/>
    <w:rPr>
      <w:rFonts w:ascii="Helvetica-Narrow" w:eastAsiaTheme="majorEastAsia" w:hAnsi="Helvetica-Narrow" w:cstheme="majorBidi"/>
      <w:b/>
      <w:bCs/>
      <w:i/>
      <w:iCs/>
      <w:color w:val="439539"/>
      <w:sz w:val="26"/>
      <w:szCs w:val="26"/>
    </w:rPr>
  </w:style>
  <w:style w:type="character" w:customStyle="1" w:styleId="Heading5Char">
    <w:name w:val="Heading 5 Char"/>
    <w:basedOn w:val="DefaultParagraphFont"/>
    <w:link w:val="Heading5"/>
    <w:uiPriority w:val="9"/>
    <w:rsid w:val="00DF111F"/>
    <w:rPr>
      <w:rFonts w:ascii="Helvetica-Narrow" w:eastAsiaTheme="majorEastAsia" w:hAnsi="Helvetica-Narrow" w:cstheme="majorBidi"/>
      <w:i/>
      <w:iCs/>
      <w:color w:val="439539"/>
      <w:sz w:val="24"/>
      <w:szCs w:val="24"/>
    </w:rPr>
  </w:style>
  <w:style w:type="paragraph" w:styleId="Title">
    <w:name w:val="Title"/>
    <w:basedOn w:val="Normal"/>
    <w:next w:val="Normal"/>
    <w:link w:val="TitleChar"/>
    <w:uiPriority w:val="10"/>
    <w:qFormat/>
    <w:rsid w:val="004D1A35"/>
    <w:pPr>
      <w:pBdr>
        <w:bottom w:val="single" w:sz="4" w:space="4" w:color="439539"/>
      </w:pBdr>
      <w:spacing w:after="300"/>
      <w:contextualSpacing/>
    </w:pPr>
    <w:rPr>
      <w:rFonts w:eastAsiaTheme="majorEastAsia" w:cstheme="majorBidi"/>
      <w:color w:val="439539"/>
      <w:spacing w:val="5"/>
      <w:kern w:val="28"/>
      <w:sz w:val="52"/>
      <w:szCs w:val="52"/>
    </w:rPr>
  </w:style>
  <w:style w:type="character" w:customStyle="1" w:styleId="TitleChar">
    <w:name w:val="Title Char"/>
    <w:basedOn w:val="DefaultParagraphFont"/>
    <w:link w:val="Title"/>
    <w:uiPriority w:val="10"/>
    <w:rsid w:val="004D1A35"/>
    <w:rPr>
      <w:rFonts w:ascii="Helvetica" w:eastAsiaTheme="majorEastAsia" w:hAnsi="Helvetica" w:cstheme="majorBidi"/>
      <w:color w:val="439539"/>
      <w:spacing w:val="5"/>
      <w:kern w:val="28"/>
      <w:sz w:val="52"/>
      <w:szCs w:val="52"/>
    </w:rPr>
  </w:style>
  <w:style w:type="paragraph" w:styleId="Subtitle">
    <w:name w:val="Subtitle"/>
    <w:basedOn w:val="Normal"/>
    <w:next w:val="Normal"/>
    <w:link w:val="SubtitleChar"/>
    <w:uiPriority w:val="11"/>
    <w:qFormat/>
    <w:rsid w:val="004D1A35"/>
    <w:pPr>
      <w:numPr>
        <w:ilvl w:val="1"/>
      </w:numPr>
    </w:pPr>
    <w:rPr>
      <w:rFonts w:asciiTheme="majorHAnsi" w:eastAsiaTheme="majorEastAsia" w:hAnsiTheme="majorHAnsi" w:cstheme="majorBidi"/>
      <w:i/>
      <w:iCs/>
      <w:color w:val="439539"/>
      <w:spacing w:val="15"/>
    </w:rPr>
  </w:style>
  <w:style w:type="character" w:customStyle="1" w:styleId="SubtitleChar">
    <w:name w:val="Subtitle Char"/>
    <w:basedOn w:val="DefaultParagraphFont"/>
    <w:link w:val="Subtitle"/>
    <w:uiPriority w:val="11"/>
    <w:rsid w:val="004D1A35"/>
    <w:rPr>
      <w:rFonts w:asciiTheme="majorHAnsi" w:eastAsiaTheme="majorEastAsia" w:hAnsiTheme="majorHAnsi" w:cstheme="majorBidi"/>
      <w:i/>
      <w:iCs/>
      <w:color w:val="439539"/>
      <w:spacing w:val="15"/>
      <w:sz w:val="24"/>
      <w:szCs w:val="24"/>
    </w:rPr>
  </w:style>
  <w:style w:type="paragraph" w:styleId="NoSpacing">
    <w:name w:val="No Spacing"/>
    <w:link w:val="NoSpacingChar"/>
    <w:uiPriority w:val="1"/>
    <w:qFormat/>
    <w:rsid w:val="004D1A35"/>
    <w:pPr>
      <w:spacing w:after="0"/>
    </w:pPr>
    <w:rPr>
      <w:rFonts w:ascii="Helvetica" w:hAnsi="Helvetica"/>
    </w:rPr>
  </w:style>
  <w:style w:type="character" w:customStyle="1" w:styleId="NoSpacingChar">
    <w:name w:val="No Spacing Char"/>
    <w:basedOn w:val="DefaultParagraphFont"/>
    <w:link w:val="NoSpacing"/>
    <w:uiPriority w:val="1"/>
    <w:rsid w:val="004D1A35"/>
    <w:rPr>
      <w:rFonts w:ascii="Helvetica" w:hAnsi="Helvetica"/>
    </w:rPr>
  </w:style>
  <w:style w:type="paragraph" w:styleId="Quote">
    <w:name w:val="Quote"/>
    <w:basedOn w:val="Normal"/>
    <w:next w:val="Normal"/>
    <w:link w:val="QuoteChar"/>
    <w:uiPriority w:val="29"/>
    <w:qFormat/>
    <w:rsid w:val="004D1A35"/>
    <w:rPr>
      <w:i/>
      <w:iCs/>
      <w:color w:val="439539"/>
    </w:rPr>
  </w:style>
  <w:style w:type="character" w:customStyle="1" w:styleId="QuoteChar">
    <w:name w:val="Quote Char"/>
    <w:basedOn w:val="DefaultParagraphFont"/>
    <w:link w:val="Quote"/>
    <w:uiPriority w:val="29"/>
    <w:rsid w:val="004D1A35"/>
    <w:rPr>
      <w:rFonts w:ascii="Helvetica" w:hAnsi="Helvetica"/>
      <w:i/>
      <w:iCs/>
      <w:color w:val="439539"/>
    </w:rPr>
  </w:style>
  <w:style w:type="paragraph" w:styleId="TOCHeading">
    <w:name w:val="TOC Heading"/>
    <w:basedOn w:val="Heading1"/>
    <w:next w:val="Normal"/>
    <w:uiPriority w:val="39"/>
    <w:semiHidden/>
    <w:unhideWhenUsed/>
    <w:qFormat/>
    <w:rsid w:val="004D1A35"/>
    <w:pPr>
      <w:spacing w:before="480" w:line="276" w:lineRule="auto"/>
      <w:outlineLvl w:val="9"/>
    </w:pPr>
    <w:rPr>
      <w:rFonts w:asciiTheme="majorHAnsi" w:hAnsiTheme="majorHAnsi"/>
      <w:color w:val="365F91" w:themeColor="accent1" w:themeShade="BF"/>
      <w:lang w:eastAsia="ja-JP"/>
    </w:rPr>
  </w:style>
  <w:style w:type="paragraph" w:customStyle="1" w:styleId="BasicParagraph">
    <w:name w:val="[Basic Paragraph]"/>
    <w:basedOn w:val="Normal"/>
    <w:uiPriority w:val="99"/>
    <w:rsid w:val="00B53701"/>
    <w:pPr>
      <w:widowControl w:val="0"/>
      <w:suppressAutoHyphens/>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Heading6Char">
    <w:name w:val="Heading 6 Char"/>
    <w:basedOn w:val="DefaultParagraphFont"/>
    <w:link w:val="Heading6"/>
    <w:uiPriority w:val="9"/>
    <w:rsid w:val="00DF111F"/>
    <w:rPr>
      <w:rFonts w:ascii="Helvetica-Narrow" w:eastAsiaTheme="majorEastAsia" w:hAnsi="Helvetica-Narrow" w:cstheme="majorBidi"/>
      <w:color w:val="439539"/>
      <w:sz w:val="24"/>
      <w:szCs w:val="24"/>
    </w:rPr>
  </w:style>
  <w:style w:type="character" w:styleId="Emphasis">
    <w:name w:val="Emphasis"/>
    <w:basedOn w:val="DefaultParagraphFont"/>
    <w:uiPriority w:val="20"/>
    <w:qFormat/>
    <w:rsid w:val="00DF111F"/>
    <w:rPr>
      <w:i/>
      <w:iCs/>
    </w:rPr>
  </w:style>
  <w:style w:type="character" w:styleId="SubtleEmphasis">
    <w:name w:val="Subtle Emphasis"/>
    <w:basedOn w:val="DefaultParagraphFont"/>
    <w:uiPriority w:val="19"/>
    <w:qFormat/>
    <w:rsid w:val="00DF111F"/>
    <w:rPr>
      <w:i/>
      <w:iCs/>
      <w:color w:val="404040" w:themeColor="text1" w:themeTint="BF"/>
    </w:rPr>
  </w:style>
  <w:style w:type="paragraph" w:styleId="BodyText">
    <w:name w:val="Body Text"/>
    <w:basedOn w:val="Normal"/>
    <w:link w:val="BodyTextChar"/>
    <w:uiPriority w:val="1"/>
    <w:qFormat/>
    <w:rsid w:val="00147FD9"/>
    <w:pPr>
      <w:tabs>
        <w:tab w:val="clear" w:pos="2428"/>
      </w:tabs>
      <w:autoSpaceDE w:val="0"/>
      <w:autoSpaceDN w:val="0"/>
      <w:adjustRightInd w:val="0"/>
      <w:spacing w:after="0"/>
      <w:ind w:left="828" w:hanging="360"/>
    </w:pPr>
    <w:rPr>
      <w:rFonts w:ascii="Calibri" w:hAnsi="Calibri" w:cs="Calibri"/>
      <w:sz w:val="22"/>
      <w:szCs w:val="22"/>
    </w:rPr>
  </w:style>
  <w:style w:type="character" w:customStyle="1" w:styleId="BodyTextChar">
    <w:name w:val="Body Text Char"/>
    <w:basedOn w:val="DefaultParagraphFont"/>
    <w:link w:val="BodyText"/>
    <w:uiPriority w:val="1"/>
    <w:rsid w:val="00147FD9"/>
    <w:rPr>
      <w:rFonts w:ascii="Calibri" w:hAnsi="Calibri" w:cs="Calibri"/>
    </w:rPr>
  </w:style>
  <w:style w:type="character" w:styleId="CommentReference">
    <w:name w:val="annotation reference"/>
    <w:basedOn w:val="DefaultParagraphFont"/>
    <w:uiPriority w:val="99"/>
    <w:semiHidden/>
    <w:unhideWhenUsed/>
    <w:rsid w:val="009A2C4E"/>
    <w:rPr>
      <w:sz w:val="16"/>
      <w:szCs w:val="16"/>
    </w:rPr>
  </w:style>
  <w:style w:type="paragraph" w:styleId="CommentText">
    <w:name w:val="annotation text"/>
    <w:basedOn w:val="Normal"/>
    <w:link w:val="CommentTextChar"/>
    <w:uiPriority w:val="99"/>
    <w:semiHidden/>
    <w:unhideWhenUsed/>
    <w:rsid w:val="009A2C4E"/>
    <w:rPr>
      <w:sz w:val="20"/>
      <w:szCs w:val="20"/>
    </w:rPr>
  </w:style>
  <w:style w:type="character" w:customStyle="1" w:styleId="CommentTextChar">
    <w:name w:val="Comment Text Char"/>
    <w:basedOn w:val="DefaultParagraphFont"/>
    <w:link w:val="CommentText"/>
    <w:uiPriority w:val="99"/>
    <w:semiHidden/>
    <w:rsid w:val="009A2C4E"/>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9A2C4E"/>
    <w:rPr>
      <w:b/>
      <w:bCs/>
    </w:rPr>
  </w:style>
  <w:style w:type="character" w:customStyle="1" w:styleId="CommentSubjectChar">
    <w:name w:val="Comment Subject Char"/>
    <w:basedOn w:val="CommentTextChar"/>
    <w:link w:val="CommentSubject"/>
    <w:uiPriority w:val="99"/>
    <w:semiHidden/>
    <w:rsid w:val="009A2C4E"/>
    <w:rPr>
      <w:rFonts w:asciiTheme="minorBidi" w:hAnsiTheme="minorBidi"/>
      <w:b/>
      <w:bCs/>
      <w:sz w:val="20"/>
      <w:szCs w:val="20"/>
    </w:rPr>
  </w:style>
  <w:style w:type="paragraph" w:styleId="Revision">
    <w:name w:val="Revision"/>
    <w:hidden/>
    <w:uiPriority w:val="99"/>
    <w:semiHidden/>
    <w:rsid w:val="009428CA"/>
    <w:pPr>
      <w:spacing w:after="0"/>
    </w:pPr>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head%20-%20Narrow%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_x0020__x0028_Final_x0020_Version_x0029_ xmlns="7e348ebb-c509-42ab-98fe-655314a4a975">Yes</Complete_x0020__x0028_Final_x0020_Version_x0029_>
    <_dlc_DocId xmlns="58ecb0c4-0b96-49a3-a5e1-c6855a06f225">CJ6YUFQTAVYV-172-73</_dlc_DocId>
    <_dlc_DocIdUrl xmlns="58ecb0c4-0b96-49a3-a5e1-c6855a06f225">
      <Url>http://vhfa-intranet/Branding/_layouts/DocIdRedir.aspx?ID=CJ6YUFQTAVYV-172-73</Url>
      <Description>CJ6YUFQTAVYV-172-73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E3DB3BB10074F81EA90238DB957C4" ma:contentTypeVersion="0" ma:contentTypeDescription="Create a new document." ma:contentTypeScope="" ma:versionID="8fd453c1e8dbb2225fedad04c38e3803">
  <xsd:schema xmlns:xsd="http://www.w3.org/2001/XMLSchema" xmlns:xs="http://www.w3.org/2001/XMLSchema" xmlns:p="http://schemas.microsoft.com/office/2006/metadata/properties" xmlns:ns2="58ecb0c4-0b96-49a3-a5e1-c6855a06f225" xmlns:ns3="7e348ebb-c509-42ab-98fe-655314a4a975" targetNamespace="http://schemas.microsoft.com/office/2006/metadata/properties" ma:root="true" ma:fieldsID="411b36a458c004cd1af59e86b55dffa7" ns2:_="" ns3:_="">
    <xsd:import namespace="58ecb0c4-0b96-49a3-a5e1-c6855a06f225"/>
    <xsd:import namespace="7e348ebb-c509-42ab-98fe-655314a4a975"/>
    <xsd:element name="properties">
      <xsd:complexType>
        <xsd:sequence>
          <xsd:element name="documentManagement">
            <xsd:complexType>
              <xsd:all>
                <xsd:element ref="ns2:_dlc_DocId" minOccurs="0"/>
                <xsd:element ref="ns2:_dlc_DocIdUrl" minOccurs="0"/>
                <xsd:element ref="ns2:_dlc_DocIdPersistId" minOccurs="0"/>
                <xsd:element ref="ns3:Complete_x0020__x0028_Final_x0020_Versio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b0c4-0b96-49a3-a5e1-c6855a06f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348ebb-c509-42ab-98fe-655314a4a975" elementFormDefault="qualified">
    <xsd:import namespace="http://schemas.microsoft.com/office/2006/documentManagement/types"/>
    <xsd:import namespace="http://schemas.microsoft.com/office/infopath/2007/PartnerControls"/>
    <xsd:element name="Complete_x0020__x0028_Final_x0020_Version_x0029_" ma:index="12" nillable="true" ma:displayName="Final Version" ma:default="No" ma:format="Dropdown" ma:internalName="Complete_x0020__x0028_Final_x0020_Version_x0029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04FC5A-4555-4CC6-BECB-642B4CEABC72}">
  <ds:schemaRefs>
    <ds:schemaRef ds:uri="http://schemas.microsoft.com/sharepoint/v3/contenttype/forms"/>
  </ds:schemaRefs>
</ds:datastoreItem>
</file>

<file path=customXml/itemProps2.xml><?xml version="1.0" encoding="utf-8"?>
<ds:datastoreItem xmlns:ds="http://schemas.openxmlformats.org/officeDocument/2006/customXml" ds:itemID="{C94971C3-FA47-4CDD-B569-D118FD397E97}">
  <ds:schemaRefs>
    <ds:schemaRef ds:uri="http://schemas.openxmlformats.org/package/2006/metadata/core-properties"/>
    <ds:schemaRef ds:uri="http://purl.org/dc/elements/1.1/"/>
    <ds:schemaRef ds:uri="http://purl.org/dc/terms/"/>
    <ds:schemaRef ds:uri="http://schemas.microsoft.com/office/2006/documentManagement/types"/>
    <ds:schemaRef ds:uri="58ecb0c4-0b96-49a3-a5e1-c6855a06f225"/>
    <ds:schemaRef ds:uri="http://schemas.microsoft.com/office/infopath/2007/PartnerControls"/>
    <ds:schemaRef ds:uri="http://purl.org/dc/dcmitype/"/>
    <ds:schemaRef ds:uri="7e348ebb-c509-42ab-98fe-655314a4a97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CB7CD6-57C2-4E4D-ADE2-86ED423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b0c4-0b96-49a3-a5e1-c6855a06f225"/>
    <ds:schemaRef ds:uri="7e348ebb-c509-42ab-98fe-655314a4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7C038-2206-4A4A-9F92-B2657BDB27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 - Narrow Margins.dotx</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Roy</dc:creator>
  <cp:lastModifiedBy>Kim Roy</cp:lastModifiedBy>
  <cp:revision>3</cp:revision>
  <cp:lastPrinted>2019-02-13T16:50:00Z</cp:lastPrinted>
  <dcterms:created xsi:type="dcterms:W3CDTF">2019-07-29T15:07:00Z</dcterms:created>
  <dcterms:modified xsi:type="dcterms:W3CDTF">2019-07-29T15:07:00Z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0x01010010AE3DB3BB10074F81EA90238DB957C4</vt:lpwstr>
  </property>
  <property fmtid="{D5CDD505-2E9C-101B-9397-08002B2CF9AE}" pid="3" name="_dlc_DocIdItemGuid">
    <vt:lpwstr>098af3f4-9550-4ff8-b779-83f37ff73291</vt:lpwstr>
  </property>
</Properties>
</file>